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B12B92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CMC_14</w:t>
            </w:r>
            <w:r w:rsidR="00684E9A" w:rsidRPr="00EE316C">
              <w:rPr>
                <w:b/>
                <w:sz w:val="24"/>
                <w:szCs w:val="24"/>
              </w:rPr>
              <w:t>_18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684E9A" w:rsidRDefault="002B54CC" w:rsidP="00EE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B3577A">
              <w:rPr>
                <w:sz w:val="24"/>
                <w:szCs w:val="24"/>
              </w:rPr>
              <w:t>LCC MW Limits</w:t>
            </w:r>
          </w:p>
          <w:p w:rsidR="00AA3C4C" w:rsidRDefault="00AA3C4C" w:rsidP="00EE316C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  <w:bookmarkStart w:id="0" w:name="_GoBack"/>
      <w:bookmarkEnd w:id="0"/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>APPENDIX C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2103E3"/>
    <w:rsid w:val="00253447"/>
    <w:rsid w:val="002B54CC"/>
    <w:rsid w:val="003523DB"/>
    <w:rsid w:val="003A45A1"/>
    <w:rsid w:val="004417C0"/>
    <w:rsid w:val="00575209"/>
    <w:rsid w:val="005D4076"/>
    <w:rsid w:val="005D699C"/>
    <w:rsid w:val="00671F09"/>
    <w:rsid w:val="00684E9A"/>
    <w:rsid w:val="007D4231"/>
    <w:rsid w:val="007E5F5F"/>
    <w:rsid w:val="008016F5"/>
    <w:rsid w:val="0097272F"/>
    <w:rsid w:val="00A406C6"/>
    <w:rsid w:val="00AA3C4C"/>
    <w:rsid w:val="00B12B92"/>
    <w:rsid w:val="00B3577A"/>
    <w:rsid w:val="00B76F96"/>
    <w:rsid w:val="00C55E84"/>
    <w:rsid w:val="00C85F0D"/>
    <w:rsid w:val="00D302D9"/>
    <w:rsid w:val="00DE6589"/>
    <w:rsid w:val="00EE316C"/>
    <w:rsid w:val="00F85AD0"/>
    <w:rsid w:val="00F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Kevin Lenaghan</cp:lastModifiedBy>
  <cp:revision>7</cp:revision>
  <dcterms:created xsi:type="dcterms:W3CDTF">2018-08-15T15:20:00Z</dcterms:created>
  <dcterms:modified xsi:type="dcterms:W3CDTF">2018-10-22T10:01:00Z</dcterms:modified>
</cp:coreProperties>
</file>