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B76F96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  <w:bookmarkStart w:id="0" w:name="_GoBack"/>
        <w:bookmarkEnd w:id="0"/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2B54CC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CMC_1</w:t>
            </w:r>
            <w:r w:rsidR="00684E9A" w:rsidRPr="00EE316C">
              <w:rPr>
                <w:b/>
                <w:sz w:val="24"/>
                <w:szCs w:val="24"/>
              </w:rPr>
              <w:t>1_18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2B54CC" w:rsidP="00EE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Long Stop Date</w:t>
            </w:r>
          </w:p>
          <w:p w:rsidR="00AA3C4C" w:rsidRDefault="00AA3C4C" w:rsidP="00EE316C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CMC_02_18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2B54CC">
              <w:rPr>
                <w:sz w:val="24"/>
                <w:szCs w:val="24"/>
              </w:rPr>
              <w:t>Tolerance Class</w:t>
            </w:r>
          </w:p>
          <w:p w:rsidR="00AA3C4C" w:rsidRDefault="00AA3C4C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</w:tcPr>
          <w:p w:rsidR="00EE316C" w:rsidRDefault="00684E9A" w:rsidP="00671F09">
            <w:pPr>
              <w:rPr>
                <w:sz w:val="24"/>
                <w:szCs w:val="24"/>
              </w:rPr>
            </w:pPr>
            <w:r w:rsidRPr="00EE316C">
              <w:rPr>
                <w:b/>
                <w:sz w:val="24"/>
                <w:szCs w:val="24"/>
              </w:rPr>
              <w:t>CMC_04_18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684E9A" w:rsidRDefault="00EE316C" w:rsidP="00671F09">
            <w:pPr>
              <w:rPr>
                <w:sz w:val="24"/>
                <w:szCs w:val="24"/>
              </w:rPr>
            </w:pPr>
            <w:r w:rsidRPr="00EE316C">
              <w:rPr>
                <w:sz w:val="24"/>
                <w:szCs w:val="24"/>
              </w:rPr>
              <w:t xml:space="preserve">– </w:t>
            </w:r>
            <w:r w:rsidR="002B54CC">
              <w:rPr>
                <w:sz w:val="24"/>
                <w:szCs w:val="24"/>
              </w:rPr>
              <w:t>Letter of Credit</w:t>
            </w:r>
          </w:p>
          <w:p w:rsidR="00C55E84" w:rsidRDefault="00C55E84" w:rsidP="00671F09"/>
        </w:tc>
        <w:tc>
          <w:tcPr>
            <w:tcW w:w="3963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671F09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671F09"/>
    <w:rsid w:val="00684E9A"/>
    <w:rsid w:val="007D4231"/>
    <w:rsid w:val="007E5F5F"/>
    <w:rsid w:val="008016F5"/>
    <w:rsid w:val="0097272F"/>
    <w:rsid w:val="00A406C6"/>
    <w:rsid w:val="00AA3C4C"/>
    <w:rsid w:val="00B76F96"/>
    <w:rsid w:val="00C55E84"/>
    <w:rsid w:val="00C85F0D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5</cp:revision>
  <dcterms:created xsi:type="dcterms:W3CDTF">2018-08-15T15:20:00Z</dcterms:created>
  <dcterms:modified xsi:type="dcterms:W3CDTF">2018-09-13T10:46:00Z</dcterms:modified>
</cp:coreProperties>
</file>