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4B1" w:rsidRDefault="00F51190" w:rsidP="008E6E41">
      <w:pPr>
        <w:pStyle w:val="Heading2"/>
        <w:jc w:val="center"/>
        <w:rPr>
          <w:rFonts w:ascii="Arial" w:hAnsi="Arial"/>
          <w:i/>
          <w:sz w:val="32"/>
        </w:rPr>
      </w:pPr>
      <w:r>
        <w:rPr>
          <w:rFonts w:ascii="Arial" w:hAnsi="Arial"/>
          <w:i/>
          <w:noProof/>
          <w:sz w:val="32"/>
          <w:lang w:eastAsia="en-GB"/>
        </w:rPr>
        <w:drawing>
          <wp:anchor distT="0" distB="0" distL="114300" distR="114300" simplePos="0" relativeHeight="251658240" behindDoc="0" locked="0" layoutInCell="1" allowOverlap="1">
            <wp:simplePos x="0" y="0"/>
            <wp:positionH relativeFrom="column">
              <wp:posOffset>1665605</wp:posOffset>
            </wp:positionH>
            <wp:positionV relativeFrom="paragraph">
              <wp:posOffset>193040</wp:posOffset>
            </wp:positionV>
            <wp:extent cx="2276475" cy="1019175"/>
            <wp:effectExtent l="0" t="0" r="0" b="0"/>
            <wp:wrapTopAndBottom/>
            <wp:docPr id="2" name="Picture 2" descr="http://upload.wikimedia.org/wikipedia/de/thumb/2/2e/AES_Logo.svg/800px-AES_Log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pload.wikimedia.org/wikipedia/de/thumb/2/2e/AES_Logo.svg/800px-AES_Logo.svg.png"/>
                    <pic:cNvPicPr>
                      <a:picLocks noChangeAspect="1" noChangeArrowheads="1"/>
                    </pic:cNvPicPr>
                  </pic:nvPicPr>
                  <pic:blipFill>
                    <a:blip r:embed="rId8" r:link="rId9"/>
                    <a:srcRect/>
                    <a:stretch>
                      <a:fillRect/>
                    </a:stretch>
                  </pic:blipFill>
                  <pic:spPr bwMode="auto">
                    <a:xfrm>
                      <a:off x="0" y="0"/>
                      <a:ext cx="2276475" cy="1019175"/>
                    </a:xfrm>
                    <a:prstGeom prst="rect">
                      <a:avLst/>
                    </a:prstGeom>
                    <a:noFill/>
                    <a:ln w="9525">
                      <a:noFill/>
                      <a:miter lim="800000"/>
                      <a:headEnd/>
                      <a:tailEnd/>
                    </a:ln>
                  </pic:spPr>
                </pic:pic>
              </a:graphicData>
            </a:graphic>
          </wp:anchor>
        </w:drawing>
      </w:r>
    </w:p>
    <w:p w:rsidR="002E0715" w:rsidRDefault="002E0715" w:rsidP="002E0715">
      <w:pPr>
        <w:rPr>
          <w:lang w:eastAsia="en-US"/>
        </w:rPr>
      </w:pPr>
    </w:p>
    <w:p w:rsidR="00F51190" w:rsidRDefault="00F51190" w:rsidP="002E0715">
      <w:pPr>
        <w:rPr>
          <w:lang w:eastAsia="en-US"/>
        </w:rPr>
      </w:pPr>
    </w:p>
    <w:p w:rsidR="00F51190" w:rsidRDefault="00F51190" w:rsidP="002E0715">
      <w:pPr>
        <w:rPr>
          <w:lang w:eastAsia="en-US"/>
        </w:rPr>
      </w:pPr>
    </w:p>
    <w:p w:rsidR="00FA5696" w:rsidRDefault="00FA5696" w:rsidP="008E6E41">
      <w:pPr>
        <w:pStyle w:val="Heading2"/>
        <w:jc w:val="center"/>
        <w:rPr>
          <w:rFonts w:ascii="Arial" w:hAnsi="Arial"/>
          <w:i/>
          <w:sz w:val="36"/>
          <w:szCs w:val="36"/>
        </w:rPr>
      </w:pPr>
    </w:p>
    <w:p w:rsidR="00266CCD" w:rsidRPr="00E8229F" w:rsidRDefault="00266CCD" w:rsidP="008E6E41">
      <w:pPr>
        <w:pStyle w:val="Heading2"/>
        <w:jc w:val="center"/>
        <w:rPr>
          <w:rFonts w:asciiTheme="minorHAnsi" w:hAnsiTheme="minorHAnsi"/>
          <w:i/>
          <w:sz w:val="36"/>
          <w:szCs w:val="36"/>
        </w:rPr>
      </w:pPr>
      <w:r w:rsidRPr="00E8229F">
        <w:rPr>
          <w:rFonts w:asciiTheme="minorHAnsi" w:hAnsiTheme="minorHAnsi"/>
          <w:i/>
          <w:sz w:val="36"/>
          <w:szCs w:val="36"/>
        </w:rPr>
        <w:t>Response to SEM Consultation Paper SEM-10-0</w:t>
      </w:r>
      <w:r w:rsidR="00931465">
        <w:rPr>
          <w:rFonts w:asciiTheme="minorHAnsi" w:hAnsiTheme="minorHAnsi"/>
          <w:i/>
          <w:sz w:val="36"/>
          <w:szCs w:val="36"/>
        </w:rPr>
        <w:t>73</w:t>
      </w:r>
    </w:p>
    <w:p w:rsidR="00266CCD" w:rsidRDefault="00266CCD" w:rsidP="008E6E41">
      <w:pPr>
        <w:pStyle w:val="Heading2"/>
        <w:jc w:val="center"/>
        <w:rPr>
          <w:rFonts w:asciiTheme="minorHAnsi" w:hAnsiTheme="minorHAnsi"/>
          <w:i/>
          <w:sz w:val="36"/>
          <w:szCs w:val="36"/>
        </w:rPr>
      </w:pPr>
    </w:p>
    <w:p w:rsidR="00931465" w:rsidRPr="00931465" w:rsidRDefault="00931465" w:rsidP="00931465">
      <w:pPr>
        <w:rPr>
          <w:lang w:eastAsia="en-US"/>
        </w:rPr>
      </w:pPr>
    </w:p>
    <w:p w:rsidR="00931465" w:rsidRDefault="00931465" w:rsidP="008E6E41">
      <w:pPr>
        <w:pStyle w:val="Heading2"/>
        <w:jc w:val="center"/>
        <w:rPr>
          <w:rFonts w:asciiTheme="minorHAnsi" w:hAnsiTheme="minorHAnsi"/>
          <w:i/>
          <w:sz w:val="36"/>
          <w:szCs w:val="36"/>
        </w:rPr>
      </w:pPr>
      <w:r>
        <w:rPr>
          <w:rFonts w:asciiTheme="minorHAnsi" w:hAnsiTheme="minorHAnsi"/>
          <w:i/>
          <w:sz w:val="36"/>
          <w:szCs w:val="36"/>
        </w:rPr>
        <w:t>Acquisition of Premier Power Limited by AES Corporation</w:t>
      </w:r>
    </w:p>
    <w:p w:rsidR="00931465" w:rsidRDefault="00931465" w:rsidP="008E6E41">
      <w:pPr>
        <w:pStyle w:val="Heading2"/>
        <w:jc w:val="center"/>
        <w:rPr>
          <w:rFonts w:asciiTheme="minorHAnsi" w:hAnsiTheme="minorHAnsi"/>
          <w:i/>
          <w:sz w:val="36"/>
          <w:szCs w:val="36"/>
        </w:rPr>
      </w:pPr>
    </w:p>
    <w:p w:rsidR="008E6E41" w:rsidRPr="00E8229F" w:rsidRDefault="00931465" w:rsidP="008E6E41">
      <w:pPr>
        <w:pStyle w:val="Heading2"/>
        <w:jc w:val="center"/>
        <w:rPr>
          <w:rFonts w:asciiTheme="minorHAnsi" w:hAnsiTheme="minorHAnsi"/>
          <w:i/>
          <w:sz w:val="36"/>
          <w:szCs w:val="36"/>
        </w:rPr>
      </w:pPr>
      <w:r>
        <w:rPr>
          <w:rFonts w:asciiTheme="minorHAnsi" w:hAnsiTheme="minorHAnsi"/>
          <w:i/>
          <w:sz w:val="36"/>
          <w:szCs w:val="36"/>
        </w:rPr>
        <w:t>Consultation on</w:t>
      </w:r>
      <w:r w:rsidR="006B7AB0">
        <w:rPr>
          <w:rFonts w:asciiTheme="minorHAnsi" w:hAnsiTheme="minorHAnsi"/>
          <w:i/>
          <w:sz w:val="36"/>
          <w:szCs w:val="36"/>
        </w:rPr>
        <w:t xml:space="preserve"> the </w:t>
      </w:r>
      <w:r>
        <w:rPr>
          <w:rFonts w:asciiTheme="minorHAnsi" w:hAnsiTheme="minorHAnsi"/>
          <w:i/>
          <w:sz w:val="36"/>
          <w:szCs w:val="36"/>
        </w:rPr>
        <w:t xml:space="preserve">Requirement for Enhanced </w:t>
      </w:r>
      <w:r w:rsidR="006B7AB0">
        <w:rPr>
          <w:rFonts w:asciiTheme="minorHAnsi" w:hAnsiTheme="minorHAnsi"/>
          <w:i/>
          <w:sz w:val="36"/>
          <w:szCs w:val="36"/>
        </w:rPr>
        <w:t xml:space="preserve">Market </w:t>
      </w:r>
      <w:r>
        <w:rPr>
          <w:rFonts w:asciiTheme="minorHAnsi" w:hAnsiTheme="minorHAnsi"/>
          <w:i/>
          <w:sz w:val="36"/>
          <w:szCs w:val="36"/>
        </w:rPr>
        <w:t>Power Mitigation Measures within Generation Licences</w:t>
      </w:r>
    </w:p>
    <w:p w:rsidR="008E6E41" w:rsidRPr="00E8229F" w:rsidRDefault="008E6E41" w:rsidP="008E6E41">
      <w:pPr>
        <w:rPr>
          <w:sz w:val="36"/>
          <w:szCs w:val="36"/>
        </w:rPr>
      </w:pPr>
    </w:p>
    <w:p w:rsidR="008E6E41" w:rsidRPr="00E8229F" w:rsidRDefault="008E6E41" w:rsidP="008E6E41">
      <w:pPr>
        <w:jc w:val="center"/>
        <w:rPr>
          <w:b/>
          <w:sz w:val="36"/>
          <w:szCs w:val="36"/>
        </w:rPr>
      </w:pPr>
      <w:r w:rsidRPr="00E8229F">
        <w:rPr>
          <w:b/>
          <w:sz w:val="36"/>
          <w:szCs w:val="36"/>
        </w:rPr>
        <w:t xml:space="preserve"> </w:t>
      </w:r>
    </w:p>
    <w:p w:rsidR="00A80066" w:rsidRDefault="00FA5696" w:rsidP="008E6E41">
      <w:pPr>
        <w:jc w:val="center"/>
        <w:rPr>
          <w:b/>
          <w:sz w:val="28"/>
        </w:rPr>
      </w:pPr>
      <w:r w:rsidRPr="00E8229F">
        <w:rPr>
          <w:b/>
          <w:sz w:val="28"/>
        </w:rPr>
        <w:t xml:space="preserve">on behalf of </w:t>
      </w:r>
    </w:p>
    <w:p w:rsidR="00FA5696" w:rsidRPr="00E8229F" w:rsidRDefault="00FA5696" w:rsidP="008E6E41">
      <w:pPr>
        <w:jc w:val="center"/>
        <w:rPr>
          <w:b/>
          <w:sz w:val="28"/>
        </w:rPr>
      </w:pPr>
      <w:r w:rsidRPr="00E8229F">
        <w:rPr>
          <w:b/>
          <w:sz w:val="28"/>
        </w:rPr>
        <w:t xml:space="preserve">AES Kilroot Power Ltd and </w:t>
      </w:r>
      <w:r w:rsidR="00A80066">
        <w:rPr>
          <w:b/>
          <w:sz w:val="28"/>
        </w:rPr>
        <w:t>AES Ballylumford Ltd</w:t>
      </w:r>
    </w:p>
    <w:p w:rsidR="001A71BE" w:rsidRPr="00E8229F" w:rsidRDefault="001A71BE" w:rsidP="008E6E41">
      <w:pPr>
        <w:jc w:val="center"/>
        <w:rPr>
          <w:b/>
          <w:sz w:val="28"/>
        </w:rPr>
      </w:pPr>
    </w:p>
    <w:p w:rsidR="00F51190" w:rsidRPr="00E8229F" w:rsidRDefault="00A34F18" w:rsidP="001A71BE">
      <w:pPr>
        <w:jc w:val="center"/>
        <w:rPr>
          <w:b/>
          <w:sz w:val="28"/>
        </w:rPr>
      </w:pPr>
      <w:r>
        <w:rPr>
          <w:b/>
          <w:sz w:val="28"/>
        </w:rPr>
        <w:t>2</w:t>
      </w:r>
      <w:r w:rsidR="003E6CC6">
        <w:rPr>
          <w:b/>
          <w:sz w:val="28"/>
        </w:rPr>
        <w:t>9</w:t>
      </w:r>
      <w:r w:rsidR="0010186A" w:rsidRPr="00E8229F">
        <w:rPr>
          <w:b/>
          <w:sz w:val="28"/>
        </w:rPr>
        <w:t xml:space="preserve"> </w:t>
      </w:r>
      <w:r>
        <w:rPr>
          <w:b/>
          <w:sz w:val="28"/>
        </w:rPr>
        <w:t>November</w:t>
      </w:r>
      <w:r w:rsidR="0010186A" w:rsidRPr="00E8229F">
        <w:rPr>
          <w:b/>
          <w:sz w:val="28"/>
        </w:rPr>
        <w:t xml:space="preserve"> 2010</w:t>
      </w:r>
    </w:p>
    <w:p w:rsidR="00F51190" w:rsidRPr="00E8229F" w:rsidRDefault="00F51190" w:rsidP="001A71BE">
      <w:pPr>
        <w:jc w:val="center"/>
        <w:rPr>
          <w:i/>
          <w:sz w:val="28"/>
        </w:rPr>
      </w:pPr>
    </w:p>
    <w:p w:rsidR="00FA5696" w:rsidRPr="00A34F18" w:rsidRDefault="0010186A" w:rsidP="00A34F18">
      <w:pPr>
        <w:jc w:val="center"/>
        <w:rPr>
          <w:i/>
        </w:rPr>
      </w:pPr>
      <w:r w:rsidRPr="00E8229F">
        <w:rPr>
          <w:i/>
        </w:rPr>
        <w:t>Prepared by</w:t>
      </w:r>
    </w:p>
    <w:p w:rsidR="00FA5696" w:rsidRPr="00FA5696" w:rsidRDefault="0010186A" w:rsidP="0010186A">
      <w:pPr>
        <w:autoSpaceDE w:val="0"/>
        <w:autoSpaceDN w:val="0"/>
        <w:adjustRightInd w:val="0"/>
        <w:spacing w:after="0" w:line="240" w:lineRule="auto"/>
        <w:jc w:val="center"/>
        <w:rPr>
          <w:rFonts w:cs="Arial"/>
          <w:color w:val="000000"/>
          <w:lang w:val="en-US"/>
        </w:rPr>
      </w:pPr>
      <w:r w:rsidRPr="00E8229F">
        <w:rPr>
          <w:rFonts w:cs="Arial"/>
          <w:color w:val="000000"/>
          <w:lang w:val="en-US"/>
        </w:rPr>
        <w:t>Lesley Hogg</w:t>
      </w:r>
    </w:p>
    <w:p w:rsidR="00FA5696" w:rsidRPr="00FA5696" w:rsidRDefault="0010186A" w:rsidP="0010186A">
      <w:pPr>
        <w:autoSpaceDE w:val="0"/>
        <w:autoSpaceDN w:val="0"/>
        <w:adjustRightInd w:val="0"/>
        <w:spacing w:after="0" w:line="240" w:lineRule="auto"/>
        <w:jc w:val="center"/>
        <w:rPr>
          <w:rFonts w:cs="Arial"/>
          <w:color w:val="000000"/>
          <w:lang w:val="en-US"/>
        </w:rPr>
      </w:pPr>
      <w:r w:rsidRPr="00E8229F">
        <w:rPr>
          <w:rFonts w:cs="Arial"/>
          <w:color w:val="000000"/>
          <w:lang w:val="en-US"/>
        </w:rPr>
        <w:t>Kilroot Power Station</w:t>
      </w:r>
    </w:p>
    <w:p w:rsidR="00FA5696" w:rsidRPr="00FA5696" w:rsidRDefault="0010186A" w:rsidP="0010186A">
      <w:pPr>
        <w:autoSpaceDE w:val="0"/>
        <w:autoSpaceDN w:val="0"/>
        <w:adjustRightInd w:val="0"/>
        <w:spacing w:after="0" w:line="240" w:lineRule="auto"/>
        <w:jc w:val="center"/>
        <w:rPr>
          <w:rFonts w:cs="Arial"/>
          <w:color w:val="000000"/>
          <w:lang w:val="en-US"/>
        </w:rPr>
      </w:pPr>
      <w:r w:rsidRPr="00E8229F">
        <w:rPr>
          <w:rFonts w:cs="Arial"/>
          <w:color w:val="000000"/>
          <w:lang w:val="en-US"/>
        </w:rPr>
        <w:t>Larne Road</w:t>
      </w:r>
    </w:p>
    <w:p w:rsidR="00FA5696" w:rsidRPr="00FA5696" w:rsidRDefault="0010186A" w:rsidP="0010186A">
      <w:pPr>
        <w:autoSpaceDE w:val="0"/>
        <w:autoSpaceDN w:val="0"/>
        <w:adjustRightInd w:val="0"/>
        <w:spacing w:after="0" w:line="240" w:lineRule="auto"/>
        <w:jc w:val="center"/>
        <w:rPr>
          <w:rFonts w:cs="Arial"/>
          <w:color w:val="000000"/>
          <w:lang w:val="en-US"/>
        </w:rPr>
      </w:pPr>
      <w:r w:rsidRPr="00E8229F">
        <w:rPr>
          <w:rFonts w:cs="Arial"/>
          <w:color w:val="000000"/>
          <w:lang w:val="en-US"/>
        </w:rPr>
        <w:t>Carrickfergus</w:t>
      </w:r>
    </w:p>
    <w:p w:rsidR="00FA5696" w:rsidRPr="00FA5696" w:rsidRDefault="00FA5696" w:rsidP="0010186A">
      <w:pPr>
        <w:autoSpaceDE w:val="0"/>
        <w:autoSpaceDN w:val="0"/>
        <w:adjustRightInd w:val="0"/>
        <w:spacing w:after="0" w:line="240" w:lineRule="auto"/>
        <w:jc w:val="center"/>
        <w:rPr>
          <w:rFonts w:cs="Arial"/>
          <w:color w:val="000000"/>
          <w:lang w:val="en-US"/>
        </w:rPr>
      </w:pPr>
      <w:r w:rsidRPr="00FA5696">
        <w:rPr>
          <w:rFonts w:cs="Arial"/>
          <w:color w:val="000000"/>
          <w:lang w:val="en-US"/>
        </w:rPr>
        <w:t>Co. Antrim BT</w:t>
      </w:r>
      <w:r w:rsidR="0010186A" w:rsidRPr="00E8229F">
        <w:rPr>
          <w:rFonts w:cs="Arial"/>
          <w:color w:val="000000"/>
          <w:lang w:val="en-US"/>
        </w:rPr>
        <w:t>38</w:t>
      </w:r>
      <w:r w:rsidRPr="00FA5696">
        <w:rPr>
          <w:rFonts w:cs="Arial"/>
          <w:color w:val="000000"/>
          <w:lang w:val="en-US"/>
        </w:rPr>
        <w:t xml:space="preserve"> </w:t>
      </w:r>
      <w:r w:rsidR="0010186A" w:rsidRPr="00E8229F">
        <w:rPr>
          <w:rFonts w:cs="Arial"/>
          <w:color w:val="000000"/>
          <w:lang w:val="en-US"/>
        </w:rPr>
        <w:t>7LX</w:t>
      </w:r>
    </w:p>
    <w:p w:rsidR="00FA5696" w:rsidRPr="00FA5696" w:rsidRDefault="00FA5696" w:rsidP="0010186A">
      <w:pPr>
        <w:autoSpaceDE w:val="0"/>
        <w:autoSpaceDN w:val="0"/>
        <w:adjustRightInd w:val="0"/>
        <w:spacing w:after="0" w:line="240" w:lineRule="auto"/>
        <w:jc w:val="center"/>
        <w:rPr>
          <w:rFonts w:cs="Arial"/>
          <w:color w:val="000000"/>
          <w:lang w:val="en-US"/>
        </w:rPr>
      </w:pPr>
      <w:r w:rsidRPr="00FA5696">
        <w:rPr>
          <w:rFonts w:cs="Arial"/>
          <w:color w:val="000000"/>
          <w:lang w:val="en-US"/>
        </w:rPr>
        <w:t>Tel: 028 93</w:t>
      </w:r>
      <w:r w:rsidR="0010186A" w:rsidRPr="00E8229F">
        <w:rPr>
          <w:rFonts w:cs="Arial"/>
          <w:color w:val="000000"/>
          <w:lang w:val="en-US"/>
        </w:rPr>
        <w:t xml:space="preserve"> </w:t>
      </w:r>
      <w:r w:rsidRPr="00FA5696">
        <w:rPr>
          <w:rFonts w:cs="Arial"/>
          <w:color w:val="000000"/>
          <w:lang w:val="en-US"/>
        </w:rPr>
        <w:t>3</w:t>
      </w:r>
      <w:r w:rsidR="0010186A" w:rsidRPr="00E8229F">
        <w:rPr>
          <w:rFonts w:cs="Arial"/>
          <w:color w:val="000000"/>
          <w:lang w:val="en-US"/>
        </w:rPr>
        <w:t>56213</w:t>
      </w:r>
    </w:p>
    <w:p w:rsidR="00FD7E7E" w:rsidRPr="006B7AB0" w:rsidRDefault="00FA5696" w:rsidP="00FD7E7E">
      <w:pPr>
        <w:autoSpaceDE w:val="0"/>
        <w:autoSpaceDN w:val="0"/>
        <w:adjustRightInd w:val="0"/>
        <w:spacing w:after="0" w:line="240" w:lineRule="auto"/>
        <w:jc w:val="center"/>
        <w:rPr>
          <w:rFonts w:cs="Arial"/>
          <w:color w:val="000000"/>
          <w:lang w:val="en-US"/>
        </w:rPr>
      </w:pPr>
      <w:r w:rsidRPr="00FA5696">
        <w:rPr>
          <w:rFonts w:cs="Arial"/>
          <w:color w:val="000000"/>
          <w:lang w:val="en-US"/>
        </w:rPr>
        <w:t xml:space="preserve">E-mail: </w:t>
      </w:r>
      <w:hyperlink r:id="rId10" w:history="1">
        <w:r w:rsidR="00FD7E7E" w:rsidRPr="00E8229F">
          <w:rPr>
            <w:rStyle w:val="Hyperlink"/>
            <w:rFonts w:cs="Arial"/>
            <w:lang w:val="en-US"/>
          </w:rPr>
          <w:t>lesley.hogg@aes.com</w:t>
        </w:r>
      </w:hyperlink>
    </w:p>
    <w:p w:rsidR="005A724F" w:rsidRDefault="005A724F" w:rsidP="006B7AB0">
      <w:pPr>
        <w:autoSpaceDE w:val="0"/>
        <w:autoSpaceDN w:val="0"/>
        <w:adjustRightInd w:val="0"/>
        <w:spacing w:after="0" w:line="240" w:lineRule="auto"/>
        <w:jc w:val="center"/>
        <w:sectPr w:rsidR="005A724F" w:rsidSect="005A724F">
          <w:headerReference w:type="default" r:id="rId11"/>
          <w:footerReference w:type="default" r:id="rId12"/>
          <w:pgSz w:w="11906" w:h="17338"/>
          <w:pgMar w:top="1886" w:right="1063" w:bottom="995" w:left="1487" w:header="720" w:footer="720" w:gutter="0"/>
          <w:pgNumType w:start="1"/>
          <w:cols w:space="720"/>
          <w:noEndnote/>
          <w:titlePg/>
          <w:docGrid w:linePitch="299"/>
        </w:sectPr>
      </w:pPr>
    </w:p>
    <w:p w:rsidR="008E6E41" w:rsidRPr="008C7993" w:rsidRDefault="009F6016" w:rsidP="008C7993">
      <w:pPr>
        <w:autoSpaceDE w:val="0"/>
        <w:autoSpaceDN w:val="0"/>
        <w:adjustRightInd w:val="0"/>
        <w:rPr>
          <w:rFonts w:cs="Arial"/>
          <w:color w:val="000000"/>
          <w:lang w:val="en-US"/>
        </w:rPr>
      </w:pPr>
      <w:r>
        <w:rPr>
          <w:b/>
          <w:bCs/>
          <w:iCs/>
          <w:sz w:val="28"/>
          <w:szCs w:val="28"/>
        </w:rPr>
        <w:lastRenderedPageBreak/>
        <w:t xml:space="preserve">1. </w:t>
      </w:r>
      <w:r w:rsidR="00EE3E31">
        <w:rPr>
          <w:b/>
          <w:bCs/>
          <w:iCs/>
          <w:sz w:val="28"/>
          <w:szCs w:val="28"/>
        </w:rPr>
        <w:tab/>
      </w:r>
      <w:r w:rsidR="00266CCD" w:rsidRPr="008C7993">
        <w:rPr>
          <w:b/>
          <w:bCs/>
          <w:iCs/>
          <w:sz w:val="28"/>
          <w:szCs w:val="28"/>
        </w:rPr>
        <w:t>Introduction</w:t>
      </w:r>
      <w:r w:rsidR="008E6E41" w:rsidRPr="008C7993">
        <w:rPr>
          <w:b/>
          <w:bCs/>
          <w:i/>
          <w:iCs/>
          <w:sz w:val="28"/>
          <w:szCs w:val="28"/>
        </w:rPr>
        <w:t xml:space="preserve"> </w:t>
      </w:r>
    </w:p>
    <w:p w:rsidR="00843F96" w:rsidRDefault="00266CCD" w:rsidP="003D0BE6">
      <w:pPr>
        <w:pStyle w:val="Default"/>
        <w:jc w:val="both"/>
        <w:rPr>
          <w:rFonts w:asciiTheme="minorHAnsi" w:hAnsiTheme="minorHAnsi"/>
          <w:sz w:val="23"/>
          <w:szCs w:val="23"/>
        </w:rPr>
      </w:pPr>
      <w:r w:rsidRPr="00220534">
        <w:rPr>
          <w:rFonts w:asciiTheme="minorHAnsi" w:hAnsiTheme="minorHAnsi"/>
          <w:sz w:val="23"/>
          <w:szCs w:val="23"/>
        </w:rPr>
        <w:t xml:space="preserve">AES Kilroot </w:t>
      </w:r>
      <w:r w:rsidR="0010186A" w:rsidRPr="00220534">
        <w:rPr>
          <w:rFonts w:asciiTheme="minorHAnsi" w:hAnsiTheme="minorHAnsi"/>
          <w:sz w:val="23"/>
          <w:szCs w:val="23"/>
        </w:rPr>
        <w:t xml:space="preserve">Power </w:t>
      </w:r>
      <w:r w:rsidRPr="00220534">
        <w:rPr>
          <w:rFonts w:asciiTheme="minorHAnsi" w:hAnsiTheme="minorHAnsi"/>
          <w:sz w:val="23"/>
          <w:szCs w:val="23"/>
        </w:rPr>
        <w:t xml:space="preserve">Limited </w:t>
      </w:r>
      <w:r w:rsidR="00B20D5B">
        <w:rPr>
          <w:rFonts w:asciiTheme="minorHAnsi" w:hAnsiTheme="minorHAnsi"/>
          <w:sz w:val="23"/>
          <w:szCs w:val="23"/>
        </w:rPr>
        <w:t>(</w:t>
      </w:r>
      <w:r w:rsidR="008D5DBE">
        <w:rPr>
          <w:rFonts w:asciiTheme="minorHAnsi" w:hAnsiTheme="minorHAnsi"/>
          <w:sz w:val="23"/>
          <w:szCs w:val="23"/>
        </w:rPr>
        <w:t>“</w:t>
      </w:r>
      <w:r w:rsidR="00B20D5B">
        <w:rPr>
          <w:rFonts w:asciiTheme="minorHAnsi" w:hAnsiTheme="minorHAnsi"/>
          <w:sz w:val="23"/>
          <w:szCs w:val="23"/>
        </w:rPr>
        <w:t>AES KPL</w:t>
      </w:r>
      <w:r w:rsidR="008D5DBE">
        <w:rPr>
          <w:rFonts w:asciiTheme="minorHAnsi" w:hAnsiTheme="minorHAnsi"/>
          <w:sz w:val="23"/>
          <w:szCs w:val="23"/>
        </w:rPr>
        <w:t>”</w:t>
      </w:r>
      <w:r w:rsidR="00B20D5B">
        <w:rPr>
          <w:rFonts w:asciiTheme="minorHAnsi" w:hAnsiTheme="minorHAnsi"/>
          <w:sz w:val="23"/>
          <w:szCs w:val="23"/>
        </w:rPr>
        <w:t xml:space="preserve">) </w:t>
      </w:r>
      <w:r w:rsidRPr="00220534">
        <w:rPr>
          <w:rFonts w:asciiTheme="minorHAnsi" w:hAnsiTheme="minorHAnsi"/>
          <w:sz w:val="23"/>
          <w:szCs w:val="23"/>
        </w:rPr>
        <w:t xml:space="preserve">and </w:t>
      </w:r>
      <w:r w:rsidR="00A34F18" w:rsidRPr="00220534">
        <w:rPr>
          <w:rFonts w:asciiTheme="minorHAnsi" w:hAnsiTheme="minorHAnsi"/>
          <w:sz w:val="23"/>
          <w:szCs w:val="23"/>
        </w:rPr>
        <w:t xml:space="preserve">AES Ballylumford Limited </w:t>
      </w:r>
      <w:r w:rsidR="00B20D5B">
        <w:rPr>
          <w:rFonts w:asciiTheme="minorHAnsi" w:hAnsiTheme="minorHAnsi"/>
          <w:sz w:val="23"/>
          <w:szCs w:val="23"/>
        </w:rPr>
        <w:t>(</w:t>
      </w:r>
      <w:r w:rsidR="008D5DBE">
        <w:rPr>
          <w:rFonts w:asciiTheme="minorHAnsi" w:hAnsiTheme="minorHAnsi"/>
          <w:sz w:val="23"/>
          <w:szCs w:val="23"/>
        </w:rPr>
        <w:t>“</w:t>
      </w:r>
      <w:r w:rsidR="00B20D5B">
        <w:rPr>
          <w:rFonts w:asciiTheme="minorHAnsi" w:hAnsiTheme="minorHAnsi"/>
          <w:sz w:val="23"/>
          <w:szCs w:val="23"/>
        </w:rPr>
        <w:t>AES BL</w:t>
      </w:r>
      <w:r w:rsidR="008D5DBE">
        <w:rPr>
          <w:rFonts w:asciiTheme="minorHAnsi" w:hAnsiTheme="minorHAnsi"/>
          <w:sz w:val="23"/>
          <w:szCs w:val="23"/>
        </w:rPr>
        <w:t>”</w:t>
      </w:r>
      <w:r w:rsidR="00B20D5B">
        <w:rPr>
          <w:rFonts w:asciiTheme="minorHAnsi" w:hAnsiTheme="minorHAnsi"/>
          <w:sz w:val="23"/>
          <w:szCs w:val="23"/>
        </w:rPr>
        <w:t xml:space="preserve">) </w:t>
      </w:r>
      <w:r w:rsidR="00A34F18" w:rsidRPr="00220534">
        <w:rPr>
          <w:rFonts w:asciiTheme="minorHAnsi" w:hAnsiTheme="minorHAnsi"/>
          <w:sz w:val="23"/>
          <w:szCs w:val="23"/>
        </w:rPr>
        <w:t xml:space="preserve">(formerly </w:t>
      </w:r>
      <w:r w:rsidRPr="00220534">
        <w:rPr>
          <w:rFonts w:asciiTheme="minorHAnsi" w:hAnsiTheme="minorHAnsi"/>
          <w:sz w:val="23"/>
          <w:szCs w:val="23"/>
        </w:rPr>
        <w:t>Premier Power L</w:t>
      </w:r>
      <w:r w:rsidR="00A34F18" w:rsidRPr="00220534">
        <w:rPr>
          <w:rFonts w:asciiTheme="minorHAnsi" w:hAnsiTheme="minorHAnsi"/>
          <w:sz w:val="23"/>
          <w:szCs w:val="23"/>
        </w:rPr>
        <w:t>imited</w:t>
      </w:r>
      <w:r w:rsidR="00E53C09" w:rsidRPr="00220534">
        <w:rPr>
          <w:rFonts w:asciiTheme="minorHAnsi" w:hAnsiTheme="minorHAnsi"/>
          <w:sz w:val="23"/>
          <w:szCs w:val="23"/>
        </w:rPr>
        <w:t>)</w:t>
      </w:r>
      <w:r w:rsidR="006B7AB0" w:rsidRPr="00220534">
        <w:rPr>
          <w:rFonts w:asciiTheme="minorHAnsi" w:hAnsiTheme="minorHAnsi"/>
          <w:sz w:val="23"/>
          <w:szCs w:val="23"/>
        </w:rPr>
        <w:t xml:space="preserve"> (</w:t>
      </w:r>
      <w:r w:rsidR="00D27D6A">
        <w:rPr>
          <w:rFonts w:asciiTheme="minorHAnsi" w:hAnsiTheme="minorHAnsi"/>
          <w:sz w:val="23"/>
          <w:szCs w:val="23"/>
        </w:rPr>
        <w:t xml:space="preserve">collectively </w:t>
      </w:r>
      <w:r w:rsidR="00FF49C0" w:rsidRPr="00220534">
        <w:rPr>
          <w:rFonts w:asciiTheme="minorHAnsi" w:hAnsiTheme="minorHAnsi"/>
          <w:sz w:val="23"/>
          <w:szCs w:val="23"/>
        </w:rPr>
        <w:t>“</w:t>
      </w:r>
      <w:r w:rsidR="006B7AB0" w:rsidRPr="00220534">
        <w:rPr>
          <w:rFonts w:asciiTheme="minorHAnsi" w:hAnsiTheme="minorHAnsi"/>
          <w:sz w:val="23"/>
          <w:szCs w:val="23"/>
        </w:rPr>
        <w:t>AES</w:t>
      </w:r>
      <w:r w:rsidR="00FF49C0" w:rsidRPr="00220534">
        <w:rPr>
          <w:rFonts w:asciiTheme="minorHAnsi" w:hAnsiTheme="minorHAnsi"/>
          <w:sz w:val="23"/>
          <w:szCs w:val="23"/>
        </w:rPr>
        <w:t>”</w:t>
      </w:r>
      <w:r w:rsidR="006B7AB0" w:rsidRPr="00220534">
        <w:rPr>
          <w:rFonts w:asciiTheme="minorHAnsi" w:hAnsiTheme="minorHAnsi"/>
          <w:sz w:val="23"/>
          <w:szCs w:val="23"/>
        </w:rPr>
        <w:t>)</w:t>
      </w:r>
      <w:r w:rsidR="00E53C09" w:rsidRPr="00220534">
        <w:rPr>
          <w:rFonts w:asciiTheme="minorHAnsi" w:hAnsiTheme="minorHAnsi"/>
          <w:sz w:val="23"/>
          <w:szCs w:val="23"/>
        </w:rPr>
        <w:t xml:space="preserve"> welcome</w:t>
      </w:r>
      <w:r w:rsidRPr="00220534">
        <w:rPr>
          <w:rFonts w:asciiTheme="minorHAnsi" w:hAnsiTheme="minorHAnsi"/>
          <w:sz w:val="23"/>
          <w:szCs w:val="23"/>
        </w:rPr>
        <w:t xml:space="preserve"> the</w:t>
      </w:r>
      <w:r w:rsidR="006B7AB0" w:rsidRPr="00220534">
        <w:rPr>
          <w:rFonts w:asciiTheme="minorHAnsi" w:hAnsiTheme="minorHAnsi"/>
          <w:sz w:val="23"/>
          <w:szCs w:val="23"/>
        </w:rPr>
        <w:t xml:space="preserve"> opportunity to comment on the </w:t>
      </w:r>
      <w:r w:rsidR="00C759BF" w:rsidRPr="00220534">
        <w:rPr>
          <w:rFonts w:asciiTheme="minorHAnsi" w:hAnsiTheme="minorHAnsi"/>
          <w:sz w:val="23"/>
          <w:szCs w:val="23"/>
        </w:rPr>
        <w:t xml:space="preserve">Consultation on the Requirement for Enhanced Market </w:t>
      </w:r>
      <w:r w:rsidR="006B7AB0" w:rsidRPr="00220534">
        <w:rPr>
          <w:rFonts w:asciiTheme="minorHAnsi" w:hAnsiTheme="minorHAnsi"/>
          <w:sz w:val="23"/>
          <w:szCs w:val="23"/>
        </w:rPr>
        <w:t>P</w:t>
      </w:r>
      <w:r w:rsidR="00C759BF" w:rsidRPr="00220534">
        <w:rPr>
          <w:rFonts w:asciiTheme="minorHAnsi" w:hAnsiTheme="minorHAnsi"/>
          <w:sz w:val="23"/>
          <w:szCs w:val="23"/>
        </w:rPr>
        <w:t xml:space="preserve">ower Mitigation Measures within Generation Licences </w:t>
      </w:r>
      <w:r w:rsidR="0079645F" w:rsidRPr="00220534">
        <w:rPr>
          <w:rFonts w:asciiTheme="minorHAnsi" w:hAnsiTheme="minorHAnsi"/>
          <w:sz w:val="23"/>
          <w:szCs w:val="23"/>
        </w:rPr>
        <w:t>(</w:t>
      </w:r>
      <w:r w:rsidR="00FF49C0" w:rsidRPr="00220534">
        <w:rPr>
          <w:rFonts w:asciiTheme="minorHAnsi" w:hAnsiTheme="minorHAnsi"/>
          <w:sz w:val="23"/>
          <w:szCs w:val="23"/>
        </w:rPr>
        <w:t>“</w:t>
      </w:r>
      <w:r w:rsidR="0079645F" w:rsidRPr="00220534">
        <w:rPr>
          <w:rFonts w:asciiTheme="minorHAnsi" w:hAnsiTheme="minorHAnsi"/>
          <w:sz w:val="23"/>
          <w:szCs w:val="23"/>
        </w:rPr>
        <w:t xml:space="preserve">the </w:t>
      </w:r>
      <w:r w:rsidR="002A5FA6" w:rsidRPr="00220534">
        <w:rPr>
          <w:rFonts w:asciiTheme="minorHAnsi" w:hAnsiTheme="minorHAnsi"/>
          <w:sz w:val="23"/>
          <w:szCs w:val="23"/>
        </w:rPr>
        <w:t xml:space="preserve">Consultation </w:t>
      </w:r>
      <w:r w:rsidR="0079645F" w:rsidRPr="00220534">
        <w:rPr>
          <w:rFonts w:asciiTheme="minorHAnsi" w:hAnsiTheme="minorHAnsi"/>
          <w:sz w:val="23"/>
          <w:szCs w:val="23"/>
        </w:rPr>
        <w:t>Paper</w:t>
      </w:r>
      <w:r w:rsidR="00FF49C0" w:rsidRPr="00220534">
        <w:rPr>
          <w:rFonts w:asciiTheme="minorHAnsi" w:hAnsiTheme="minorHAnsi"/>
          <w:sz w:val="23"/>
          <w:szCs w:val="23"/>
        </w:rPr>
        <w:t>”</w:t>
      </w:r>
      <w:r w:rsidR="0079645F" w:rsidRPr="00220534">
        <w:rPr>
          <w:rFonts w:asciiTheme="minorHAnsi" w:hAnsiTheme="minorHAnsi"/>
          <w:sz w:val="23"/>
          <w:szCs w:val="23"/>
        </w:rPr>
        <w:t xml:space="preserve">) </w:t>
      </w:r>
      <w:r w:rsidR="00FF49C0" w:rsidRPr="00220534">
        <w:rPr>
          <w:rFonts w:asciiTheme="minorHAnsi" w:hAnsiTheme="minorHAnsi"/>
          <w:sz w:val="23"/>
          <w:szCs w:val="23"/>
        </w:rPr>
        <w:t xml:space="preserve">following the acquisition of </w:t>
      </w:r>
      <w:r w:rsidR="00C759BF" w:rsidRPr="00220534">
        <w:rPr>
          <w:rFonts w:asciiTheme="minorHAnsi" w:hAnsiTheme="minorHAnsi"/>
          <w:sz w:val="23"/>
          <w:szCs w:val="23"/>
        </w:rPr>
        <w:t>Premier Power Limited by the AES Corporation</w:t>
      </w:r>
      <w:r w:rsidR="00C256A9" w:rsidRPr="00220534">
        <w:rPr>
          <w:rFonts w:asciiTheme="minorHAnsi" w:hAnsiTheme="minorHAnsi"/>
          <w:sz w:val="23"/>
          <w:szCs w:val="23"/>
        </w:rPr>
        <w:t xml:space="preserve">. </w:t>
      </w:r>
    </w:p>
    <w:p w:rsidR="00763A0C" w:rsidRDefault="00763A0C" w:rsidP="00B545E6">
      <w:pPr>
        <w:pStyle w:val="Default"/>
        <w:jc w:val="both"/>
        <w:rPr>
          <w:rFonts w:asciiTheme="minorHAnsi" w:hAnsiTheme="minorHAnsi"/>
          <w:sz w:val="23"/>
          <w:szCs w:val="23"/>
        </w:rPr>
      </w:pPr>
    </w:p>
    <w:p w:rsidR="00763A0C" w:rsidRDefault="00763A0C" w:rsidP="00B545E6">
      <w:pPr>
        <w:pStyle w:val="Default"/>
        <w:jc w:val="both"/>
        <w:rPr>
          <w:rFonts w:asciiTheme="minorHAnsi" w:hAnsiTheme="minorHAnsi"/>
          <w:sz w:val="23"/>
          <w:szCs w:val="23"/>
        </w:rPr>
      </w:pPr>
      <w:r>
        <w:rPr>
          <w:rFonts w:asciiTheme="minorHAnsi" w:hAnsiTheme="minorHAnsi"/>
          <w:sz w:val="23"/>
          <w:szCs w:val="23"/>
        </w:rPr>
        <w:t xml:space="preserve">The AES Corporation acquired AES BL on 11 August 2010. AES received </w:t>
      </w:r>
      <w:r w:rsidR="00C61C61">
        <w:rPr>
          <w:rFonts w:asciiTheme="minorHAnsi" w:hAnsiTheme="minorHAnsi"/>
          <w:sz w:val="23"/>
          <w:szCs w:val="23"/>
        </w:rPr>
        <w:t xml:space="preserve">non legally binding </w:t>
      </w:r>
      <w:r>
        <w:rPr>
          <w:rFonts w:asciiTheme="minorHAnsi" w:hAnsiTheme="minorHAnsi"/>
          <w:sz w:val="23"/>
          <w:szCs w:val="23"/>
        </w:rPr>
        <w:t>co</w:t>
      </w:r>
      <w:r w:rsidR="00C61C61">
        <w:rPr>
          <w:rFonts w:asciiTheme="minorHAnsi" w:hAnsiTheme="minorHAnsi"/>
          <w:sz w:val="23"/>
          <w:szCs w:val="23"/>
        </w:rPr>
        <w:t xml:space="preserve">mfort </w:t>
      </w:r>
      <w:r>
        <w:rPr>
          <w:rFonts w:asciiTheme="minorHAnsi" w:hAnsiTheme="minorHAnsi"/>
          <w:sz w:val="23"/>
          <w:szCs w:val="23"/>
        </w:rPr>
        <w:t>from the Department of En</w:t>
      </w:r>
      <w:r w:rsidR="00C61C61">
        <w:rPr>
          <w:rFonts w:asciiTheme="minorHAnsi" w:hAnsiTheme="minorHAnsi"/>
          <w:sz w:val="23"/>
          <w:szCs w:val="23"/>
        </w:rPr>
        <w:t>terprise, Trade and Investment</w:t>
      </w:r>
      <w:r w:rsidR="006528B9">
        <w:rPr>
          <w:rFonts w:asciiTheme="minorHAnsi" w:hAnsiTheme="minorHAnsi"/>
          <w:sz w:val="23"/>
          <w:szCs w:val="23"/>
        </w:rPr>
        <w:t xml:space="preserve"> (“the Department”) </w:t>
      </w:r>
      <w:r w:rsidR="00C61C61">
        <w:rPr>
          <w:rFonts w:asciiTheme="minorHAnsi" w:hAnsiTheme="minorHAnsi"/>
          <w:sz w:val="23"/>
          <w:szCs w:val="23"/>
        </w:rPr>
        <w:t xml:space="preserve">and the </w:t>
      </w:r>
      <w:r w:rsidR="00C61C61" w:rsidRPr="00AF181E">
        <w:rPr>
          <w:rFonts w:asciiTheme="minorHAnsi" w:hAnsiTheme="minorHAnsi"/>
          <w:sz w:val="23"/>
          <w:szCs w:val="23"/>
        </w:rPr>
        <w:t>Northern Ireland Authority for Utility Regulation</w:t>
      </w:r>
      <w:r w:rsidR="00C61C61">
        <w:rPr>
          <w:rFonts w:asciiTheme="minorHAnsi" w:hAnsiTheme="minorHAnsi"/>
          <w:sz w:val="23"/>
          <w:szCs w:val="23"/>
        </w:rPr>
        <w:t xml:space="preserve"> </w:t>
      </w:r>
      <w:r w:rsidR="006528B9">
        <w:rPr>
          <w:rFonts w:asciiTheme="minorHAnsi" w:hAnsiTheme="minorHAnsi"/>
          <w:sz w:val="23"/>
          <w:szCs w:val="23"/>
        </w:rPr>
        <w:t xml:space="preserve">(“the Authority”) </w:t>
      </w:r>
      <w:r w:rsidR="00C61C61">
        <w:rPr>
          <w:rFonts w:asciiTheme="minorHAnsi" w:hAnsiTheme="minorHAnsi"/>
          <w:sz w:val="23"/>
          <w:szCs w:val="23"/>
        </w:rPr>
        <w:t>that</w:t>
      </w:r>
      <w:r w:rsidR="006528B9">
        <w:rPr>
          <w:rFonts w:asciiTheme="minorHAnsi" w:hAnsiTheme="minorHAnsi"/>
          <w:sz w:val="23"/>
          <w:szCs w:val="23"/>
        </w:rPr>
        <w:t>,</w:t>
      </w:r>
      <w:r w:rsidR="00C61C61">
        <w:rPr>
          <w:rFonts w:asciiTheme="minorHAnsi" w:hAnsiTheme="minorHAnsi"/>
          <w:sz w:val="23"/>
          <w:szCs w:val="23"/>
        </w:rPr>
        <w:t xml:space="preserve"> </w:t>
      </w:r>
      <w:r w:rsidR="006528B9">
        <w:rPr>
          <w:rFonts w:asciiTheme="minorHAnsi" w:hAnsiTheme="minorHAnsi"/>
          <w:sz w:val="23"/>
          <w:szCs w:val="23"/>
        </w:rPr>
        <w:t xml:space="preserve">on </w:t>
      </w:r>
      <w:r w:rsidR="00C61C61">
        <w:rPr>
          <w:rFonts w:asciiTheme="minorHAnsi" w:hAnsiTheme="minorHAnsi"/>
          <w:sz w:val="23"/>
          <w:szCs w:val="23"/>
        </w:rPr>
        <w:t>the</w:t>
      </w:r>
      <w:r w:rsidR="006528B9">
        <w:rPr>
          <w:rFonts w:asciiTheme="minorHAnsi" w:hAnsiTheme="minorHAnsi"/>
          <w:sz w:val="23"/>
          <w:szCs w:val="23"/>
        </w:rPr>
        <w:t xml:space="preserve"> basis of the information provided, the Department and Authority did not intend to exercise their powers of revocation under the Change of Control provisions contained in AES BL’s Generati</w:t>
      </w:r>
      <w:r w:rsidR="00DF7442">
        <w:rPr>
          <w:rFonts w:asciiTheme="minorHAnsi" w:hAnsiTheme="minorHAnsi"/>
          <w:sz w:val="23"/>
          <w:szCs w:val="23"/>
        </w:rPr>
        <w:t>on</w:t>
      </w:r>
      <w:r w:rsidR="006528B9">
        <w:rPr>
          <w:rFonts w:asciiTheme="minorHAnsi" w:hAnsiTheme="minorHAnsi"/>
          <w:sz w:val="23"/>
          <w:szCs w:val="23"/>
        </w:rPr>
        <w:t xml:space="preserve"> and Gas Supply Licences.</w:t>
      </w:r>
    </w:p>
    <w:p w:rsidR="00BB632A" w:rsidRDefault="00BB632A" w:rsidP="00B545E6">
      <w:pPr>
        <w:pStyle w:val="Default"/>
        <w:jc w:val="both"/>
        <w:rPr>
          <w:rFonts w:asciiTheme="minorHAnsi" w:hAnsiTheme="minorHAnsi"/>
          <w:sz w:val="23"/>
          <w:szCs w:val="23"/>
        </w:rPr>
      </w:pPr>
    </w:p>
    <w:p w:rsidR="00BB632A" w:rsidRDefault="00BB632A" w:rsidP="00B545E6">
      <w:pPr>
        <w:pStyle w:val="Default"/>
        <w:jc w:val="both"/>
        <w:rPr>
          <w:rFonts w:asciiTheme="minorHAnsi" w:hAnsiTheme="minorHAnsi"/>
          <w:sz w:val="23"/>
          <w:szCs w:val="23"/>
        </w:rPr>
      </w:pPr>
      <w:r>
        <w:rPr>
          <w:rFonts w:asciiTheme="minorHAnsi" w:hAnsiTheme="minorHAnsi"/>
          <w:sz w:val="23"/>
          <w:szCs w:val="23"/>
        </w:rPr>
        <w:t>The Office of Fair Trading (</w:t>
      </w:r>
      <w:r w:rsidR="00D27D6A">
        <w:rPr>
          <w:rFonts w:asciiTheme="minorHAnsi" w:hAnsiTheme="minorHAnsi"/>
          <w:sz w:val="23"/>
          <w:szCs w:val="23"/>
        </w:rPr>
        <w:t>“</w:t>
      </w:r>
      <w:r>
        <w:rPr>
          <w:rFonts w:asciiTheme="minorHAnsi" w:hAnsiTheme="minorHAnsi"/>
          <w:sz w:val="23"/>
          <w:szCs w:val="23"/>
        </w:rPr>
        <w:t>OFT</w:t>
      </w:r>
      <w:r w:rsidR="00D27D6A">
        <w:rPr>
          <w:rFonts w:asciiTheme="minorHAnsi" w:hAnsiTheme="minorHAnsi"/>
          <w:sz w:val="23"/>
          <w:szCs w:val="23"/>
        </w:rPr>
        <w:t>”</w:t>
      </w:r>
      <w:r>
        <w:rPr>
          <w:rFonts w:asciiTheme="minorHAnsi" w:hAnsiTheme="minorHAnsi"/>
          <w:sz w:val="23"/>
          <w:szCs w:val="23"/>
        </w:rPr>
        <w:t>) recently raised and investigated two possible concerns namely that</w:t>
      </w:r>
      <w:r w:rsidRPr="00BB632A">
        <w:rPr>
          <w:rFonts w:asciiTheme="minorHAnsi" w:hAnsiTheme="minorHAnsi"/>
          <w:sz w:val="23"/>
          <w:szCs w:val="23"/>
        </w:rPr>
        <w:t xml:space="preserve"> </w:t>
      </w:r>
      <w:r>
        <w:rPr>
          <w:rFonts w:asciiTheme="minorHAnsi" w:hAnsiTheme="minorHAnsi"/>
          <w:sz w:val="23"/>
          <w:szCs w:val="23"/>
        </w:rPr>
        <w:t>AES post-merger</w:t>
      </w:r>
      <w:r w:rsidRPr="00BB632A">
        <w:rPr>
          <w:rFonts w:asciiTheme="minorHAnsi" w:hAnsiTheme="minorHAnsi"/>
          <w:sz w:val="23"/>
          <w:szCs w:val="23"/>
        </w:rPr>
        <w:t xml:space="preserve"> </w:t>
      </w:r>
      <w:r>
        <w:rPr>
          <w:rFonts w:asciiTheme="minorHAnsi" w:hAnsiTheme="minorHAnsi"/>
          <w:sz w:val="23"/>
          <w:szCs w:val="23"/>
        </w:rPr>
        <w:t>may have the ability and incentive to:</w:t>
      </w:r>
    </w:p>
    <w:p w:rsidR="00BB632A" w:rsidRDefault="00BB632A" w:rsidP="00B545E6">
      <w:pPr>
        <w:pStyle w:val="Default"/>
        <w:jc w:val="both"/>
        <w:rPr>
          <w:rFonts w:asciiTheme="minorHAnsi" w:hAnsiTheme="minorHAnsi"/>
          <w:sz w:val="23"/>
          <w:szCs w:val="23"/>
        </w:rPr>
      </w:pPr>
    </w:p>
    <w:p w:rsidR="00BB632A" w:rsidRDefault="00BB632A" w:rsidP="00C51C2C">
      <w:pPr>
        <w:pStyle w:val="Default"/>
        <w:numPr>
          <w:ilvl w:val="0"/>
          <w:numId w:val="14"/>
        </w:numPr>
        <w:jc w:val="both"/>
        <w:rPr>
          <w:rFonts w:asciiTheme="minorHAnsi" w:hAnsiTheme="minorHAnsi"/>
          <w:sz w:val="23"/>
          <w:szCs w:val="23"/>
        </w:rPr>
      </w:pPr>
      <w:r>
        <w:rPr>
          <w:rFonts w:asciiTheme="minorHAnsi" w:hAnsiTheme="minorHAnsi"/>
          <w:sz w:val="23"/>
          <w:szCs w:val="23"/>
        </w:rPr>
        <w:t>raise the System Marginal Price (</w:t>
      </w:r>
      <w:r w:rsidR="00D27D6A">
        <w:rPr>
          <w:rFonts w:asciiTheme="minorHAnsi" w:hAnsiTheme="minorHAnsi"/>
          <w:sz w:val="23"/>
          <w:szCs w:val="23"/>
        </w:rPr>
        <w:t>“</w:t>
      </w:r>
      <w:r>
        <w:rPr>
          <w:rFonts w:asciiTheme="minorHAnsi" w:hAnsiTheme="minorHAnsi"/>
          <w:sz w:val="23"/>
          <w:szCs w:val="23"/>
        </w:rPr>
        <w:t>SMP</w:t>
      </w:r>
      <w:r w:rsidR="00D27D6A">
        <w:rPr>
          <w:rFonts w:asciiTheme="minorHAnsi" w:hAnsiTheme="minorHAnsi"/>
          <w:sz w:val="23"/>
          <w:szCs w:val="23"/>
        </w:rPr>
        <w:t>”</w:t>
      </w:r>
      <w:r>
        <w:rPr>
          <w:rFonts w:asciiTheme="minorHAnsi" w:hAnsiTheme="minorHAnsi"/>
          <w:sz w:val="23"/>
          <w:szCs w:val="23"/>
        </w:rPr>
        <w:t>) in the Single Electricity Market (</w:t>
      </w:r>
      <w:r w:rsidR="00D27D6A">
        <w:rPr>
          <w:rFonts w:asciiTheme="minorHAnsi" w:hAnsiTheme="minorHAnsi"/>
          <w:sz w:val="23"/>
          <w:szCs w:val="23"/>
        </w:rPr>
        <w:t>“</w:t>
      </w:r>
      <w:r>
        <w:rPr>
          <w:rFonts w:asciiTheme="minorHAnsi" w:hAnsiTheme="minorHAnsi"/>
          <w:sz w:val="23"/>
          <w:szCs w:val="23"/>
        </w:rPr>
        <w:t>SEM</w:t>
      </w:r>
      <w:r w:rsidR="00D27D6A">
        <w:rPr>
          <w:rFonts w:asciiTheme="minorHAnsi" w:hAnsiTheme="minorHAnsi"/>
          <w:sz w:val="23"/>
          <w:szCs w:val="23"/>
        </w:rPr>
        <w:t>”</w:t>
      </w:r>
      <w:r>
        <w:rPr>
          <w:rFonts w:asciiTheme="minorHAnsi" w:hAnsiTheme="minorHAnsi"/>
          <w:sz w:val="23"/>
          <w:szCs w:val="23"/>
        </w:rPr>
        <w:t>) or mange its portfolio to maximise revenue by withholding capacity on its contracted plant; and</w:t>
      </w:r>
      <w:r w:rsidR="00C51C2C">
        <w:rPr>
          <w:rFonts w:asciiTheme="minorHAnsi" w:hAnsiTheme="minorHAnsi"/>
          <w:sz w:val="23"/>
          <w:szCs w:val="23"/>
        </w:rPr>
        <w:t xml:space="preserve"> </w:t>
      </w:r>
    </w:p>
    <w:p w:rsidR="00C51C2C" w:rsidRDefault="00C51C2C" w:rsidP="00B545E6">
      <w:pPr>
        <w:pStyle w:val="Default"/>
        <w:jc w:val="both"/>
        <w:rPr>
          <w:rFonts w:asciiTheme="minorHAnsi" w:hAnsiTheme="minorHAnsi"/>
          <w:sz w:val="23"/>
          <w:szCs w:val="23"/>
        </w:rPr>
      </w:pPr>
    </w:p>
    <w:p w:rsidR="00BB632A" w:rsidRDefault="00BB632A" w:rsidP="00C51C2C">
      <w:pPr>
        <w:pStyle w:val="Default"/>
        <w:numPr>
          <w:ilvl w:val="0"/>
          <w:numId w:val="14"/>
        </w:numPr>
        <w:jc w:val="both"/>
        <w:rPr>
          <w:rFonts w:asciiTheme="minorHAnsi" w:hAnsiTheme="minorHAnsi"/>
          <w:sz w:val="23"/>
          <w:szCs w:val="23"/>
        </w:rPr>
      </w:pPr>
      <w:r>
        <w:rPr>
          <w:rFonts w:asciiTheme="minorHAnsi" w:hAnsiTheme="minorHAnsi"/>
          <w:sz w:val="23"/>
          <w:szCs w:val="23"/>
        </w:rPr>
        <w:t>i</w:t>
      </w:r>
      <w:r w:rsidR="00714659">
        <w:rPr>
          <w:rFonts w:asciiTheme="minorHAnsi" w:hAnsiTheme="minorHAnsi"/>
          <w:sz w:val="23"/>
          <w:szCs w:val="23"/>
        </w:rPr>
        <w:t>ncrease constraint payments.</w:t>
      </w:r>
    </w:p>
    <w:p w:rsidR="00714659" w:rsidRDefault="00714659" w:rsidP="00B545E6">
      <w:pPr>
        <w:pStyle w:val="Default"/>
        <w:jc w:val="both"/>
        <w:rPr>
          <w:rFonts w:asciiTheme="minorHAnsi" w:hAnsiTheme="minorHAnsi"/>
          <w:sz w:val="23"/>
          <w:szCs w:val="23"/>
        </w:rPr>
      </w:pPr>
    </w:p>
    <w:p w:rsidR="00714659" w:rsidRDefault="00C51C2C" w:rsidP="00B545E6">
      <w:pPr>
        <w:pStyle w:val="Default"/>
        <w:jc w:val="both"/>
        <w:rPr>
          <w:rFonts w:asciiTheme="minorHAnsi" w:hAnsiTheme="minorHAnsi"/>
          <w:sz w:val="23"/>
          <w:szCs w:val="23"/>
        </w:rPr>
      </w:pPr>
      <w:r>
        <w:rPr>
          <w:rFonts w:asciiTheme="minorHAnsi" w:hAnsiTheme="minorHAnsi"/>
          <w:sz w:val="23"/>
          <w:szCs w:val="23"/>
        </w:rPr>
        <w:t>The OFT assessed the merger on both a SEM basis and a Northern Ireland basis</w:t>
      </w:r>
      <w:r w:rsidR="003D0BE6">
        <w:rPr>
          <w:rFonts w:asciiTheme="minorHAnsi" w:hAnsiTheme="minorHAnsi"/>
          <w:sz w:val="23"/>
          <w:szCs w:val="23"/>
        </w:rPr>
        <w:t xml:space="preserve"> and</w:t>
      </w:r>
      <w:r w:rsidR="00714659">
        <w:rPr>
          <w:rFonts w:asciiTheme="minorHAnsi" w:hAnsiTheme="minorHAnsi"/>
          <w:sz w:val="23"/>
          <w:szCs w:val="23"/>
        </w:rPr>
        <w:t xml:space="preserve"> decided</w:t>
      </w:r>
      <w:r>
        <w:rPr>
          <w:rFonts w:asciiTheme="minorHAnsi" w:hAnsiTheme="minorHAnsi"/>
          <w:sz w:val="23"/>
          <w:szCs w:val="23"/>
        </w:rPr>
        <w:t xml:space="preserve"> not to refer the merger to the Competition Commission under the provisions of the Enterprise Act 2002.</w:t>
      </w:r>
    </w:p>
    <w:p w:rsidR="00BB632A" w:rsidRDefault="00BB632A" w:rsidP="00B545E6">
      <w:pPr>
        <w:pStyle w:val="Default"/>
        <w:jc w:val="both"/>
        <w:rPr>
          <w:rFonts w:asciiTheme="minorHAnsi" w:hAnsiTheme="minorHAnsi"/>
          <w:sz w:val="23"/>
          <w:szCs w:val="23"/>
        </w:rPr>
      </w:pPr>
    </w:p>
    <w:p w:rsidR="00753D03" w:rsidRPr="00220534" w:rsidRDefault="00753D03" w:rsidP="00B545E6">
      <w:pPr>
        <w:pStyle w:val="Default"/>
        <w:jc w:val="both"/>
        <w:rPr>
          <w:rFonts w:asciiTheme="minorHAnsi" w:hAnsiTheme="minorHAnsi"/>
          <w:sz w:val="23"/>
          <w:szCs w:val="23"/>
        </w:rPr>
      </w:pPr>
    </w:p>
    <w:p w:rsidR="002A2D62" w:rsidRPr="00220534" w:rsidRDefault="009F6016" w:rsidP="00B545E6">
      <w:pPr>
        <w:pStyle w:val="Default"/>
        <w:jc w:val="both"/>
        <w:rPr>
          <w:rFonts w:asciiTheme="minorHAnsi" w:hAnsiTheme="minorHAnsi"/>
          <w:b/>
          <w:sz w:val="23"/>
          <w:szCs w:val="23"/>
        </w:rPr>
      </w:pPr>
      <w:r>
        <w:rPr>
          <w:rFonts w:asciiTheme="minorHAnsi" w:hAnsiTheme="minorHAnsi"/>
          <w:b/>
          <w:sz w:val="28"/>
          <w:szCs w:val="28"/>
        </w:rPr>
        <w:t xml:space="preserve">2. </w:t>
      </w:r>
      <w:r w:rsidR="00EE3E31">
        <w:rPr>
          <w:rFonts w:asciiTheme="minorHAnsi" w:hAnsiTheme="minorHAnsi"/>
          <w:b/>
          <w:sz w:val="28"/>
          <w:szCs w:val="28"/>
        </w:rPr>
        <w:tab/>
      </w:r>
      <w:r w:rsidR="00DE2B62" w:rsidRPr="00220534">
        <w:rPr>
          <w:rFonts w:asciiTheme="minorHAnsi" w:hAnsiTheme="minorHAnsi"/>
          <w:b/>
          <w:sz w:val="28"/>
          <w:szCs w:val="28"/>
        </w:rPr>
        <w:t xml:space="preserve">Summary </w:t>
      </w:r>
    </w:p>
    <w:p w:rsidR="00DE2B62" w:rsidRPr="00220534" w:rsidRDefault="00DE2B62" w:rsidP="002317EF">
      <w:pPr>
        <w:pStyle w:val="Default"/>
        <w:jc w:val="both"/>
        <w:rPr>
          <w:rFonts w:asciiTheme="minorHAnsi" w:hAnsiTheme="minorHAnsi"/>
          <w:sz w:val="23"/>
          <w:szCs w:val="23"/>
        </w:rPr>
      </w:pPr>
    </w:p>
    <w:p w:rsidR="00DE2B62" w:rsidRPr="00AF181E" w:rsidRDefault="00DE2B62" w:rsidP="002317EF">
      <w:pPr>
        <w:pStyle w:val="Default"/>
        <w:jc w:val="both"/>
        <w:rPr>
          <w:rFonts w:asciiTheme="minorHAnsi" w:hAnsiTheme="minorHAnsi"/>
          <w:sz w:val="23"/>
          <w:szCs w:val="23"/>
        </w:rPr>
      </w:pPr>
      <w:r w:rsidRPr="00AF181E">
        <w:rPr>
          <w:rFonts w:asciiTheme="minorHAnsi" w:hAnsiTheme="minorHAnsi"/>
          <w:sz w:val="23"/>
          <w:szCs w:val="23"/>
        </w:rPr>
        <w:t xml:space="preserve">AES </w:t>
      </w:r>
      <w:r w:rsidR="000A3AF0" w:rsidRPr="00AF181E">
        <w:rPr>
          <w:rFonts w:asciiTheme="minorHAnsi" w:hAnsiTheme="minorHAnsi"/>
          <w:sz w:val="23"/>
          <w:szCs w:val="23"/>
        </w:rPr>
        <w:t>believe</w:t>
      </w:r>
      <w:r w:rsidR="00F13BB1" w:rsidRPr="00AF181E">
        <w:rPr>
          <w:rFonts w:asciiTheme="minorHAnsi" w:hAnsiTheme="minorHAnsi"/>
          <w:sz w:val="23"/>
          <w:szCs w:val="23"/>
        </w:rPr>
        <w:t xml:space="preserve">s that it does not have the ability or incentive to exercise market power either in the SEM or behind system constraints locally in Northern Ireland following the acquisition of </w:t>
      </w:r>
      <w:r w:rsidR="00D27D6A">
        <w:rPr>
          <w:rFonts w:asciiTheme="minorHAnsi" w:hAnsiTheme="minorHAnsi"/>
          <w:sz w:val="23"/>
          <w:szCs w:val="23"/>
        </w:rPr>
        <w:t>AES BL</w:t>
      </w:r>
      <w:r w:rsidR="00196938" w:rsidRPr="00AF181E">
        <w:rPr>
          <w:rFonts w:asciiTheme="minorHAnsi" w:hAnsiTheme="minorHAnsi"/>
          <w:sz w:val="23"/>
          <w:szCs w:val="23"/>
        </w:rPr>
        <w:t xml:space="preserve"> for the following reasons:</w:t>
      </w:r>
      <w:r w:rsidR="00F13BB1" w:rsidRPr="00AF181E">
        <w:rPr>
          <w:rFonts w:asciiTheme="minorHAnsi" w:hAnsiTheme="minorHAnsi"/>
          <w:sz w:val="23"/>
          <w:szCs w:val="23"/>
        </w:rPr>
        <w:t xml:space="preserve"> </w:t>
      </w:r>
    </w:p>
    <w:p w:rsidR="00196938" w:rsidRPr="00AF181E" w:rsidRDefault="00196938" w:rsidP="002317EF">
      <w:pPr>
        <w:pStyle w:val="Default"/>
        <w:jc w:val="both"/>
        <w:rPr>
          <w:rFonts w:asciiTheme="minorHAnsi" w:hAnsiTheme="minorHAnsi"/>
          <w:sz w:val="23"/>
          <w:szCs w:val="23"/>
        </w:rPr>
      </w:pPr>
    </w:p>
    <w:p w:rsidR="00196938" w:rsidRPr="00AF181E" w:rsidRDefault="00196938" w:rsidP="00196938">
      <w:pPr>
        <w:pStyle w:val="BodyText"/>
        <w:numPr>
          <w:ilvl w:val="0"/>
          <w:numId w:val="10"/>
        </w:numPr>
        <w:rPr>
          <w:rFonts w:asciiTheme="minorHAnsi" w:hAnsiTheme="minorHAnsi"/>
          <w:sz w:val="23"/>
          <w:szCs w:val="23"/>
        </w:rPr>
      </w:pPr>
      <w:r w:rsidRPr="00AF181E">
        <w:rPr>
          <w:rFonts w:asciiTheme="minorHAnsi" w:hAnsiTheme="minorHAnsi"/>
          <w:sz w:val="23"/>
          <w:szCs w:val="23"/>
        </w:rPr>
        <w:t xml:space="preserve">The SEM is highly regulated and has a number of mitigation measures expressly designed to address market power concerns, comprising </w:t>
      </w:r>
      <w:r w:rsidR="00C51C2C">
        <w:rPr>
          <w:rFonts w:asciiTheme="minorHAnsi" w:hAnsiTheme="minorHAnsi"/>
          <w:sz w:val="23"/>
          <w:szCs w:val="23"/>
        </w:rPr>
        <w:t xml:space="preserve">bidding principles for generators, </w:t>
      </w:r>
      <w:r w:rsidRPr="00AF181E">
        <w:rPr>
          <w:rFonts w:asciiTheme="minorHAnsi" w:hAnsiTheme="minorHAnsi"/>
          <w:sz w:val="23"/>
          <w:szCs w:val="23"/>
        </w:rPr>
        <w:t xml:space="preserve">a </w:t>
      </w:r>
      <w:r w:rsidR="00B20D5B">
        <w:rPr>
          <w:rFonts w:asciiTheme="minorHAnsi" w:hAnsiTheme="minorHAnsi"/>
          <w:sz w:val="23"/>
          <w:szCs w:val="23"/>
        </w:rPr>
        <w:t>M</w:t>
      </w:r>
      <w:r w:rsidRPr="00AF181E">
        <w:rPr>
          <w:rFonts w:asciiTheme="minorHAnsi" w:hAnsiTheme="minorHAnsi"/>
          <w:sz w:val="23"/>
          <w:szCs w:val="23"/>
        </w:rPr>
        <w:t xml:space="preserve">arket </w:t>
      </w:r>
      <w:r w:rsidR="00B20D5B">
        <w:rPr>
          <w:rFonts w:asciiTheme="minorHAnsi" w:hAnsiTheme="minorHAnsi"/>
          <w:sz w:val="23"/>
          <w:szCs w:val="23"/>
        </w:rPr>
        <w:t>M</w:t>
      </w:r>
      <w:r w:rsidRPr="00AF181E">
        <w:rPr>
          <w:rFonts w:asciiTheme="minorHAnsi" w:hAnsiTheme="minorHAnsi"/>
          <w:sz w:val="23"/>
          <w:szCs w:val="23"/>
        </w:rPr>
        <w:t xml:space="preserve">onitoring </w:t>
      </w:r>
      <w:r w:rsidR="00B20D5B">
        <w:rPr>
          <w:rFonts w:asciiTheme="minorHAnsi" w:hAnsiTheme="minorHAnsi"/>
          <w:sz w:val="23"/>
          <w:szCs w:val="23"/>
        </w:rPr>
        <w:t>U</w:t>
      </w:r>
      <w:r w:rsidRPr="00AF181E">
        <w:rPr>
          <w:rFonts w:asciiTheme="minorHAnsi" w:hAnsiTheme="minorHAnsi"/>
          <w:sz w:val="23"/>
          <w:szCs w:val="23"/>
        </w:rPr>
        <w:t>nit</w:t>
      </w:r>
      <w:r w:rsidR="00B20D5B">
        <w:rPr>
          <w:rFonts w:asciiTheme="minorHAnsi" w:hAnsiTheme="minorHAnsi"/>
          <w:sz w:val="23"/>
          <w:szCs w:val="23"/>
        </w:rPr>
        <w:t xml:space="preserve"> (</w:t>
      </w:r>
      <w:r w:rsidR="00DF7442">
        <w:rPr>
          <w:rFonts w:asciiTheme="minorHAnsi" w:hAnsiTheme="minorHAnsi"/>
          <w:sz w:val="23"/>
          <w:szCs w:val="23"/>
        </w:rPr>
        <w:t>“</w:t>
      </w:r>
      <w:r w:rsidR="00B20D5B">
        <w:rPr>
          <w:rFonts w:asciiTheme="minorHAnsi" w:hAnsiTheme="minorHAnsi"/>
          <w:sz w:val="23"/>
          <w:szCs w:val="23"/>
        </w:rPr>
        <w:t>MMU</w:t>
      </w:r>
      <w:r w:rsidR="00DF7442">
        <w:rPr>
          <w:rFonts w:asciiTheme="minorHAnsi" w:hAnsiTheme="minorHAnsi"/>
          <w:sz w:val="23"/>
          <w:szCs w:val="23"/>
        </w:rPr>
        <w:t>”</w:t>
      </w:r>
      <w:r w:rsidR="00B20D5B">
        <w:rPr>
          <w:rFonts w:asciiTheme="minorHAnsi" w:hAnsiTheme="minorHAnsi"/>
          <w:sz w:val="23"/>
          <w:szCs w:val="23"/>
        </w:rPr>
        <w:t>)</w:t>
      </w:r>
      <w:r w:rsidRPr="00AF181E">
        <w:rPr>
          <w:rFonts w:asciiTheme="minorHAnsi" w:hAnsiTheme="minorHAnsi"/>
          <w:sz w:val="23"/>
          <w:szCs w:val="23"/>
        </w:rPr>
        <w:t xml:space="preserve">, </w:t>
      </w:r>
      <w:r w:rsidR="006F7F12" w:rsidRPr="00AF181E">
        <w:rPr>
          <w:rFonts w:asciiTheme="minorHAnsi" w:hAnsiTheme="minorHAnsi"/>
          <w:sz w:val="23"/>
          <w:szCs w:val="23"/>
        </w:rPr>
        <w:t xml:space="preserve"> </w:t>
      </w:r>
      <w:r w:rsidRPr="00AF181E">
        <w:rPr>
          <w:rFonts w:asciiTheme="minorHAnsi" w:hAnsiTheme="minorHAnsi"/>
          <w:sz w:val="23"/>
          <w:szCs w:val="23"/>
        </w:rPr>
        <w:t xml:space="preserve"> </w:t>
      </w:r>
      <w:r w:rsidR="00B20D5B">
        <w:rPr>
          <w:rFonts w:asciiTheme="minorHAnsi" w:hAnsiTheme="minorHAnsi"/>
          <w:sz w:val="23"/>
          <w:szCs w:val="23"/>
        </w:rPr>
        <w:t>D</w:t>
      </w:r>
      <w:r w:rsidRPr="00AF181E">
        <w:rPr>
          <w:rFonts w:asciiTheme="minorHAnsi" w:hAnsiTheme="minorHAnsi"/>
          <w:sz w:val="23"/>
          <w:szCs w:val="23"/>
        </w:rPr>
        <w:t xml:space="preserve">irected </w:t>
      </w:r>
      <w:r w:rsidR="00B20D5B">
        <w:rPr>
          <w:rFonts w:asciiTheme="minorHAnsi" w:hAnsiTheme="minorHAnsi"/>
          <w:sz w:val="23"/>
          <w:szCs w:val="23"/>
        </w:rPr>
        <w:t>C</w:t>
      </w:r>
      <w:r w:rsidRPr="00AF181E">
        <w:rPr>
          <w:rFonts w:asciiTheme="minorHAnsi" w:hAnsiTheme="minorHAnsi"/>
          <w:sz w:val="23"/>
          <w:szCs w:val="23"/>
        </w:rPr>
        <w:t>ontract</w:t>
      </w:r>
      <w:r w:rsidR="00C51C2C">
        <w:rPr>
          <w:rFonts w:asciiTheme="minorHAnsi" w:hAnsiTheme="minorHAnsi"/>
          <w:sz w:val="23"/>
          <w:szCs w:val="23"/>
        </w:rPr>
        <w:t>s and</w:t>
      </w:r>
      <w:r w:rsidR="006F7F12" w:rsidRPr="00AF181E">
        <w:rPr>
          <w:rFonts w:asciiTheme="minorHAnsi" w:hAnsiTheme="minorHAnsi"/>
          <w:sz w:val="23"/>
          <w:szCs w:val="23"/>
        </w:rPr>
        <w:t xml:space="preserve"> ring-fencing arrangements</w:t>
      </w:r>
      <w:r w:rsidR="00C51C2C">
        <w:rPr>
          <w:rFonts w:asciiTheme="minorHAnsi" w:hAnsiTheme="minorHAnsi"/>
          <w:sz w:val="23"/>
          <w:szCs w:val="23"/>
        </w:rPr>
        <w:t xml:space="preserve"> for the incumbent generators (ESB Power Generation (</w:t>
      </w:r>
      <w:r w:rsidR="00DF7442">
        <w:rPr>
          <w:rFonts w:asciiTheme="minorHAnsi" w:hAnsiTheme="minorHAnsi"/>
          <w:sz w:val="23"/>
          <w:szCs w:val="23"/>
        </w:rPr>
        <w:t>“</w:t>
      </w:r>
      <w:r w:rsidR="00C51C2C">
        <w:rPr>
          <w:rFonts w:asciiTheme="minorHAnsi" w:hAnsiTheme="minorHAnsi"/>
          <w:sz w:val="23"/>
          <w:szCs w:val="23"/>
        </w:rPr>
        <w:t>ESB PG</w:t>
      </w:r>
      <w:r w:rsidR="00DF7442">
        <w:rPr>
          <w:rFonts w:asciiTheme="minorHAnsi" w:hAnsiTheme="minorHAnsi"/>
          <w:sz w:val="23"/>
          <w:szCs w:val="23"/>
        </w:rPr>
        <w:t>”</w:t>
      </w:r>
      <w:r w:rsidR="00C51C2C">
        <w:rPr>
          <w:rFonts w:asciiTheme="minorHAnsi" w:hAnsiTheme="minorHAnsi"/>
          <w:sz w:val="23"/>
          <w:szCs w:val="23"/>
        </w:rPr>
        <w:t>) and NIE Energy Power Procurement Business (</w:t>
      </w:r>
      <w:r w:rsidR="00DF7442">
        <w:rPr>
          <w:rFonts w:asciiTheme="minorHAnsi" w:hAnsiTheme="minorHAnsi"/>
          <w:sz w:val="23"/>
          <w:szCs w:val="23"/>
        </w:rPr>
        <w:t>“</w:t>
      </w:r>
      <w:r w:rsidR="00C51C2C">
        <w:rPr>
          <w:rFonts w:asciiTheme="minorHAnsi" w:hAnsiTheme="minorHAnsi"/>
          <w:sz w:val="23"/>
          <w:szCs w:val="23"/>
        </w:rPr>
        <w:t>NIEE PPB</w:t>
      </w:r>
      <w:r w:rsidR="00DF7442">
        <w:rPr>
          <w:rFonts w:asciiTheme="minorHAnsi" w:hAnsiTheme="minorHAnsi"/>
          <w:sz w:val="23"/>
          <w:szCs w:val="23"/>
        </w:rPr>
        <w:t>”</w:t>
      </w:r>
      <w:r w:rsidR="00C51C2C">
        <w:rPr>
          <w:rFonts w:asciiTheme="minorHAnsi" w:hAnsiTheme="minorHAnsi"/>
          <w:sz w:val="23"/>
          <w:szCs w:val="23"/>
        </w:rPr>
        <w:t>))</w:t>
      </w:r>
      <w:r w:rsidR="006F7F12" w:rsidRPr="00AF181E">
        <w:rPr>
          <w:rFonts w:asciiTheme="minorHAnsi" w:hAnsiTheme="minorHAnsi"/>
          <w:sz w:val="23"/>
          <w:szCs w:val="23"/>
        </w:rPr>
        <w:t xml:space="preserve"> and local power mitigation measures</w:t>
      </w:r>
      <w:r w:rsidR="00553990">
        <w:rPr>
          <w:rFonts w:asciiTheme="minorHAnsi" w:hAnsiTheme="minorHAnsi"/>
          <w:sz w:val="23"/>
          <w:szCs w:val="23"/>
        </w:rPr>
        <w:t xml:space="preserve"> (capping of constraint payments and Reliability Must-Run contracts)</w:t>
      </w:r>
      <w:r w:rsidRPr="00AF181E">
        <w:rPr>
          <w:rFonts w:asciiTheme="minorHAnsi" w:hAnsiTheme="minorHAnsi"/>
          <w:sz w:val="23"/>
          <w:szCs w:val="23"/>
        </w:rPr>
        <w:t xml:space="preserve">. </w:t>
      </w:r>
    </w:p>
    <w:p w:rsidR="00BB5A82" w:rsidRDefault="00553990" w:rsidP="00196938">
      <w:pPr>
        <w:pStyle w:val="BodyText"/>
        <w:numPr>
          <w:ilvl w:val="0"/>
          <w:numId w:val="10"/>
        </w:numPr>
        <w:rPr>
          <w:rFonts w:asciiTheme="minorHAnsi" w:hAnsiTheme="minorHAnsi"/>
          <w:sz w:val="23"/>
          <w:szCs w:val="23"/>
        </w:rPr>
      </w:pPr>
      <w:r>
        <w:rPr>
          <w:rFonts w:asciiTheme="minorHAnsi" w:hAnsiTheme="minorHAnsi"/>
          <w:sz w:val="23"/>
          <w:szCs w:val="23"/>
        </w:rPr>
        <w:t xml:space="preserve">The </w:t>
      </w:r>
      <w:r w:rsidR="00BD636A">
        <w:rPr>
          <w:rFonts w:asciiTheme="minorHAnsi" w:hAnsiTheme="minorHAnsi"/>
          <w:sz w:val="23"/>
          <w:szCs w:val="23"/>
        </w:rPr>
        <w:t>g</w:t>
      </w:r>
      <w:r>
        <w:rPr>
          <w:rFonts w:asciiTheme="minorHAnsi" w:hAnsiTheme="minorHAnsi"/>
          <w:sz w:val="23"/>
          <w:szCs w:val="23"/>
        </w:rPr>
        <w:t xml:space="preserve">enerating </w:t>
      </w:r>
      <w:r w:rsidR="00BD636A">
        <w:rPr>
          <w:rFonts w:asciiTheme="minorHAnsi" w:hAnsiTheme="minorHAnsi"/>
          <w:sz w:val="23"/>
          <w:szCs w:val="23"/>
        </w:rPr>
        <w:t>l</w:t>
      </w:r>
      <w:r>
        <w:rPr>
          <w:rFonts w:asciiTheme="minorHAnsi" w:hAnsiTheme="minorHAnsi"/>
          <w:sz w:val="23"/>
          <w:szCs w:val="23"/>
        </w:rPr>
        <w:t xml:space="preserve">icences of AES KPL and AES BL direct cost-reflective bidding and compliance with the </w:t>
      </w:r>
      <w:r w:rsidR="00BB5A82">
        <w:rPr>
          <w:rFonts w:asciiTheme="minorHAnsi" w:hAnsiTheme="minorHAnsi"/>
          <w:sz w:val="23"/>
          <w:szCs w:val="23"/>
        </w:rPr>
        <w:t xml:space="preserve">SEM </w:t>
      </w:r>
      <w:r>
        <w:rPr>
          <w:rFonts w:asciiTheme="minorHAnsi" w:hAnsiTheme="minorHAnsi"/>
          <w:sz w:val="23"/>
          <w:szCs w:val="23"/>
        </w:rPr>
        <w:t>Bidding Code of Practice</w:t>
      </w:r>
      <w:r w:rsidR="00BB5A82">
        <w:rPr>
          <w:rFonts w:asciiTheme="minorHAnsi" w:hAnsiTheme="minorHAnsi"/>
          <w:sz w:val="23"/>
          <w:szCs w:val="23"/>
        </w:rPr>
        <w:t xml:space="preserve"> (Conditions 17 and 18), prohibit cross subsidies between affiliates (Condition 3) and require affiliates to produce separate accounts (Condition 2).</w:t>
      </w:r>
    </w:p>
    <w:p w:rsidR="009C1922" w:rsidRPr="00AF181E" w:rsidRDefault="009C1922" w:rsidP="00196938">
      <w:pPr>
        <w:pStyle w:val="BodyText"/>
        <w:numPr>
          <w:ilvl w:val="0"/>
          <w:numId w:val="10"/>
        </w:numPr>
        <w:rPr>
          <w:rFonts w:asciiTheme="minorHAnsi" w:hAnsiTheme="minorHAnsi"/>
          <w:sz w:val="23"/>
          <w:szCs w:val="23"/>
        </w:rPr>
      </w:pPr>
      <w:r w:rsidRPr="00AF181E">
        <w:rPr>
          <w:rFonts w:asciiTheme="minorHAnsi" w:hAnsiTheme="minorHAnsi"/>
          <w:sz w:val="23"/>
          <w:szCs w:val="23"/>
        </w:rPr>
        <w:t>Regarding the ability to exercise market power behind system constraints locally in Northern Ireland, a key limitation on a party’s ability to manipulate the level of constraint payments it receives is the fact that bids must be submitted ahead of time and on an unconstrained basis</w:t>
      </w:r>
      <w:r w:rsidR="00313EB3" w:rsidRPr="00AF181E">
        <w:rPr>
          <w:rFonts w:asciiTheme="minorHAnsi" w:hAnsiTheme="minorHAnsi"/>
          <w:sz w:val="23"/>
          <w:szCs w:val="23"/>
        </w:rPr>
        <w:t xml:space="preserve">. This means that, even in the absence of market power mitigation measures, any attempt to increase the levels of constraint </w:t>
      </w:r>
      <w:r w:rsidR="00DF7442">
        <w:rPr>
          <w:rFonts w:asciiTheme="minorHAnsi" w:hAnsiTheme="minorHAnsi"/>
          <w:sz w:val="23"/>
          <w:szCs w:val="23"/>
        </w:rPr>
        <w:t>payments</w:t>
      </w:r>
      <w:r w:rsidR="00313EB3" w:rsidRPr="00AF181E">
        <w:rPr>
          <w:rFonts w:asciiTheme="minorHAnsi" w:hAnsiTheme="minorHAnsi"/>
          <w:sz w:val="23"/>
          <w:szCs w:val="23"/>
        </w:rPr>
        <w:t xml:space="preserve"> is likely to decrease wholesale revenues (or vice versa). </w:t>
      </w:r>
      <w:r w:rsidR="006F7F12" w:rsidRPr="00AF181E">
        <w:rPr>
          <w:rFonts w:asciiTheme="minorHAnsi" w:hAnsiTheme="minorHAnsi"/>
          <w:sz w:val="23"/>
          <w:szCs w:val="23"/>
        </w:rPr>
        <w:t xml:space="preserve">The constraints imposed by the </w:t>
      </w:r>
      <w:r w:rsidR="00313EB3" w:rsidRPr="00AF181E">
        <w:rPr>
          <w:rFonts w:asciiTheme="minorHAnsi" w:hAnsiTheme="minorHAnsi"/>
          <w:sz w:val="23"/>
          <w:szCs w:val="23"/>
        </w:rPr>
        <w:t xml:space="preserve">system operator </w:t>
      </w:r>
      <w:r w:rsidR="006F7F12" w:rsidRPr="00AF181E">
        <w:rPr>
          <w:rFonts w:asciiTheme="minorHAnsi" w:hAnsiTheme="minorHAnsi"/>
          <w:sz w:val="23"/>
          <w:szCs w:val="23"/>
        </w:rPr>
        <w:lastRenderedPageBreak/>
        <w:t>(primarily the requirement to keep three Northern Ireland thermal units synchronised at all times</w:t>
      </w:r>
      <w:r w:rsidR="004F0A36">
        <w:rPr>
          <w:rFonts w:asciiTheme="minorHAnsi" w:hAnsiTheme="minorHAnsi"/>
          <w:sz w:val="23"/>
          <w:szCs w:val="23"/>
        </w:rPr>
        <w:t xml:space="preserve"> (including</w:t>
      </w:r>
      <w:r w:rsidR="00D65F91">
        <w:rPr>
          <w:rFonts w:asciiTheme="minorHAnsi" w:hAnsiTheme="minorHAnsi"/>
          <w:sz w:val="23"/>
          <w:szCs w:val="23"/>
        </w:rPr>
        <w:t xml:space="preserve"> one Kilroot </w:t>
      </w:r>
      <w:r w:rsidR="008D5DBE">
        <w:rPr>
          <w:rFonts w:asciiTheme="minorHAnsi" w:hAnsiTheme="minorHAnsi"/>
          <w:sz w:val="23"/>
          <w:szCs w:val="23"/>
        </w:rPr>
        <w:t xml:space="preserve">unit </w:t>
      </w:r>
      <w:r w:rsidR="004F0A36">
        <w:rPr>
          <w:rFonts w:asciiTheme="minorHAnsi" w:hAnsiTheme="minorHAnsi"/>
          <w:sz w:val="23"/>
          <w:szCs w:val="23"/>
        </w:rPr>
        <w:t>for voltage stability in the Belfast area)</w:t>
      </w:r>
      <w:r w:rsidR="006F7F12" w:rsidRPr="00AF181E">
        <w:rPr>
          <w:rFonts w:asciiTheme="minorHAnsi" w:hAnsiTheme="minorHAnsi"/>
          <w:sz w:val="23"/>
          <w:szCs w:val="23"/>
        </w:rPr>
        <w:t>) ha</w:t>
      </w:r>
      <w:r w:rsidR="004F0A36">
        <w:rPr>
          <w:rFonts w:asciiTheme="minorHAnsi" w:hAnsiTheme="minorHAnsi"/>
          <w:sz w:val="23"/>
          <w:szCs w:val="23"/>
        </w:rPr>
        <w:t>ve</w:t>
      </w:r>
      <w:r w:rsidR="006F7F12" w:rsidRPr="00AF181E">
        <w:rPr>
          <w:rFonts w:asciiTheme="minorHAnsi" w:hAnsiTheme="minorHAnsi"/>
          <w:sz w:val="23"/>
          <w:szCs w:val="23"/>
        </w:rPr>
        <w:t xml:space="preserve"> been in existence since the start of SEM </w:t>
      </w:r>
      <w:r w:rsidR="00081BB7" w:rsidRPr="00AF181E">
        <w:rPr>
          <w:rFonts w:asciiTheme="minorHAnsi" w:hAnsiTheme="minorHAnsi"/>
          <w:sz w:val="23"/>
          <w:szCs w:val="23"/>
        </w:rPr>
        <w:t xml:space="preserve">and </w:t>
      </w:r>
      <w:r w:rsidR="001D7D15">
        <w:rPr>
          <w:rFonts w:asciiTheme="minorHAnsi" w:hAnsiTheme="minorHAnsi"/>
          <w:sz w:val="23"/>
          <w:szCs w:val="23"/>
        </w:rPr>
        <w:t>are therefore unaffected by the</w:t>
      </w:r>
      <w:r w:rsidR="006F7F12" w:rsidRPr="00AF181E">
        <w:rPr>
          <w:rFonts w:asciiTheme="minorHAnsi" w:hAnsiTheme="minorHAnsi"/>
          <w:sz w:val="23"/>
          <w:szCs w:val="23"/>
        </w:rPr>
        <w:t xml:space="preserve"> acquisition.</w:t>
      </w:r>
      <w:r w:rsidR="00313EB3" w:rsidRPr="00AF181E">
        <w:rPr>
          <w:rFonts w:asciiTheme="minorHAnsi" w:hAnsiTheme="minorHAnsi"/>
          <w:sz w:val="23"/>
          <w:szCs w:val="23"/>
        </w:rPr>
        <w:t xml:space="preserve"> </w:t>
      </w:r>
    </w:p>
    <w:p w:rsidR="00196938" w:rsidRPr="00AF181E" w:rsidRDefault="00196938" w:rsidP="00196938">
      <w:pPr>
        <w:pStyle w:val="BodyText"/>
        <w:numPr>
          <w:ilvl w:val="0"/>
          <w:numId w:val="10"/>
        </w:numPr>
        <w:rPr>
          <w:rFonts w:asciiTheme="minorHAnsi" w:hAnsiTheme="minorHAnsi"/>
          <w:sz w:val="23"/>
          <w:szCs w:val="23"/>
        </w:rPr>
      </w:pPr>
      <w:r w:rsidRPr="00AF181E">
        <w:rPr>
          <w:rFonts w:asciiTheme="minorHAnsi" w:hAnsiTheme="minorHAnsi"/>
          <w:sz w:val="23"/>
          <w:szCs w:val="23"/>
        </w:rPr>
        <w:t>51% of the combined portfolio's output (</w:t>
      </w:r>
      <w:r w:rsidR="009C1922" w:rsidRPr="00AF181E">
        <w:rPr>
          <w:rFonts w:asciiTheme="minorHAnsi" w:hAnsiTheme="minorHAnsi"/>
          <w:sz w:val="23"/>
          <w:szCs w:val="23"/>
        </w:rPr>
        <w:t>931</w:t>
      </w:r>
      <w:r w:rsidRPr="00AF181E">
        <w:rPr>
          <w:rFonts w:asciiTheme="minorHAnsi" w:hAnsiTheme="minorHAnsi"/>
          <w:sz w:val="23"/>
          <w:szCs w:val="23"/>
        </w:rPr>
        <w:t xml:space="preserve"> MW out of 1,831MW) is sold under lo</w:t>
      </w:r>
      <w:r w:rsidR="009E35C6">
        <w:rPr>
          <w:rFonts w:asciiTheme="minorHAnsi" w:hAnsiTheme="minorHAnsi"/>
          <w:sz w:val="23"/>
          <w:szCs w:val="23"/>
        </w:rPr>
        <w:t>ng</w:t>
      </w:r>
      <w:r w:rsidR="00DF7442">
        <w:rPr>
          <w:rFonts w:asciiTheme="minorHAnsi" w:hAnsiTheme="minorHAnsi"/>
          <w:sz w:val="23"/>
          <w:szCs w:val="23"/>
        </w:rPr>
        <w:t>-</w:t>
      </w:r>
      <w:r w:rsidR="009E35C6">
        <w:rPr>
          <w:rFonts w:asciiTheme="minorHAnsi" w:hAnsiTheme="minorHAnsi"/>
          <w:sz w:val="23"/>
          <w:szCs w:val="23"/>
        </w:rPr>
        <w:t>term contract to NIEE</w:t>
      </w:r>
      <w:r w:rsidR="00EF4F94">
        <w:rPr>
          <w:rFonts w:asciiTheme="minorHAnsi" w:hAnsiTheme="minorHAnsi"/>
          <w:sz w:val="23"/>
          <w:szCs w:val="23"/>
        </w:rPr>
        <w:t xml:space="preserve"> PPB</w:t>
      </w:r>
      <w:r w:rsidR="009E35C6">
        <w:rPr>
          <w:rFonts w:asciiTheme="minorHAnsi" w:hAnsiTheme="minorHAnsi"/>
          <w:sz w:val="23"/>
          <w:szCs w:val="23"/>
        </w:rPr>
        <w:t xml:space="preserve">. </w:t>
      </w:r>
      <w:r w:rsidRPr="00AF181E">
        <w:rPr>
          <w:rFonts w:asciiTheme="minorHAnsi" w:hAnsiTheme="minorHAnsi"/>
          <w:sz w:val="23"/>
          <w:szCs w:val="23"/>
        </w:rPr>
        <w:t xml:space="preserve">NIEE </w:t>
      </w:r>
      <w:r w:rsidR="007728F5">
        <w:rPr>
          <w:rFonts w:asciiTheme="minorHAnsi" w:hAnsiTheme="minorHAnsi"/>
          <w:sz w:val="23"/>
          <w:szCs w:val="23"/>
        </w:rPr>
        <w:t>PPB</w:t>
      </w:r>
      <w:r w:rsidRPr="00AF181E">
        <w:rPr>
          <w:rFonts w:asciiTheme="minorHAnsi" w:hAnsiTheme="minorHAnsi"/>
          <w:sz w:val="23"/>
          <w:szCs w:val="23"/>
        </w:rPr>
        <w:t xml:space="preserve"> bids this </w:t>
      </w:r>
      <w:r w:rsidR="00081BB7" w:rsidRPr="00AF181E">
        <w:rPr>
          <w:rFonts w:asciiTheme="minorHAnsi" w:hAnsiTheme="minorHAnsi"/>
          <w:sz w:val="23"/>
          <w:szCs w:val="23"/>
        </w:rPr>
        <w:t>capacity</w:t>
      </w:r>
      <w:r w:rsidRPr="00AF181E">
        <w:rPr>
          <w:rFonts w:asciiTheme="minorHAnsi" w:hAnsiTheme="minorHAnsi"/>
          <w:sz w:val="23"/>
          <w:szCs w:val="23"/>
        </w:rPr>
        <w:t xml:space="preserve"> into </w:t>
      </w:r>
      <w:r w:rsidR="00DF7442">
        <w:rPr>
          <w:rFonts w:asciiTheme="minorHAnsi" w:hAnsiTheme="minorHAnsi"/>
          <w:sz w:val="23"/>
          <w:szCs w:val="23"/>
        </w:rPr>
        <w:t xml:space="preserve">the </w:t>
      </w:r>
      <w:r w:rsidRPr="00AF181E">
        <w:rPr>
          <w:rFonts w:asciiTheme="minorHAnsi" w:hAnsiTheme="minorHAnsi"/>
          <w:sz w:val="23"/>
          <w:szCs w:val="23"/>
        </w:rPr>
        <w:t>SEM and AES</w:t>
      </w:r>
      <w:r w:rsidR="009C1922" w:rsidRPr="00AF181E">
        <w:rPr>
          <w:rFonts w:asciiTheme="minorHAnsi" w:hAnsiTheme="minorHAnsi"/>
          <w:sz w:val="23"/>
          <w:szCs w:val="23"/>
        </w:rPr>
        <w:t xml:space="preserve"> is</w:t>
      </w:r>
      <w:r w:rsidRPr="00AF181E">
        <w:rPr>
          <w:rFonts w:asciiTheme="minorHAnsi" w:hAnsiTheme="minorHAnsi"/>
          <w:sz w:val="23"/>
          <w:szCs w:val="23"/>
        </w:rPr>
        <w:t xml:space="preserve"> compensated acco</w:t>
      </w:r>
      <w:r w:rsidR="00DF7442">
        <w:rPr>
          <w:rFonts w:asciiTheme="minorHAnsi" w:hAnsiTheme="minorHAnsi"/>
          <w:sz w:val="23"/>
          <w:szCs w:val="23"/>
        </w:rPr>
        <w:t xml:space="preserve">rding to a contractual formula </w:t>
      </w:r>
      <w:r w:rsidRPr="00AF181E">
        <w:rPr>
          <w:rFonts w:asciiTheme="minorHAnsi" w:hAnsiTheme="minorHAnsi"/>
          <w:sz w:val="23"/>
          <w:szCs w:val="23"/>
        </w:rPr>
        <w:t xml:space="preserve">unconnected to the operation of the SEM. </w:t>
      </w:r>
      <w:r w:rsidR="009C1922" w:rsidRPr="00AF181E">
        <w:rPr>
          <w:rFonts w:asciiTheme="minorHAnsi" w:hAnsiTheme="minorHAnsi"/>
          <w:sz w:val="23"/>
          <w:szCs w:val="23"/>
        </w:rPr>
        <w:t xml:space="preserve"> </w:t>
      </w:r>
      <w:r w:rsidR="00AC177C" w:rsidRPr="00AF181E">
        <w:rPr>
          <w:rFonts w:asciiTheme="minorHAnsi" w:hAnsiTheme="minorHAnsi"/>
          <w:sz w:val="23"/>
          <w:szCs w:val="23"/>
        </w:rPr>
        <w:t xml:space="preserve">AES therefore </w:t>
      </w:r>
      <w:r w:rsidR="00EF4F94">
        <w:rPr>
          <w:rFonts w:asciiTheme="minorHAnsi" w:hAnsiTheme="minorHAnsi"/>
          <w:sz w:val="23"/>
          <w:szCs w:val="23"/>
        </w:rPr>
        <w:t>considers</w:t>
      </w:r>
      <w:r w:rsidR="00AC177C" w:rsidRPr="00AF181E">
        <w:rPr>
          <w:rFonts w:asciiTheme="minorHAnsi" w:hAnsiTheme="minorHAnsi"/>
          <w:sz w:val="23"/>
          <w:szCs w:val="23"/>
        </w:rPr>
        <w:t xml:space="preserve"> it inappropriate to </w:t>
      </w:r>
      <w:r w:rsidR="00EF4F94">
        <w:rPr>
          <w:rFonts w:asciiTheme="minorHAnsi" w:hAnsiTheme="minorHAnsi"/>
          <w:sz w:val="23"/>
          <w:szCs w:val="23"/>
        </w:rPr>
        <w:t>view</w:t>
      </w:r>
      <w:r w:rsidR="00AC177C" w:rsidRPr="00AF181E">
        <w:rPr>
          <w:rFonts w:asciiTheme="minorHAnsi" w:hAnsiTheme="minorHAnsi"/>
          <w:sz w:val="23"/>
          <w:szCs w:val="23"/>
        </w:rPr>
        <w:t xml:space="preserve"> market power in relation to Scenario 1.</w:t>
      </w:r>
    </w:p>
    <w:p w:rsidR="00196938" w:rsidRPr="00AF181E" w:rsidRDefault="00196938" w:rsidP="004E3F49">
      <w:pPr>
        <w:pStyle w:val="BodyText"/>
        <w:numPr>
          <w:ilvl w:val="0"/>
          <w:numId w:val="10"/>
        </w:numPr>
        <w:rPr>
          <w:rFonts w:asciiTheme="minorHAnsi" w:hAnsiTheme="minorHAnsi"/>
          <w:sz w:val="23"/>
          <w:szCs w:val="23"/>
        </w:rPr>
      </w:pPr>
      <w:r w:rsidRPr="00AF181E">
        <w:rPr>
          <w:rFonts w:asciiTheme="minorHAnsi" w:hAnsiTheme="minorHAnsi"/>
          <w:sz w:val="23"/>
          <w:szCs w:val="23"/>
        </w:rPr>
        <w:t xml:space="preserve">The size and composition of the combined </w:t>
      </w:r>
      <w:r w:rsidR="00081BB7" w:rsidRPr="00AF181E">
        <w:rPr>
          <w:rFonts w:asciiTheme="minorHAnsi" w:hAnsiTheme="minorHAnsi"/>
          <w:sz w:val="23"/>
          <w:szCs w:val="23"/>
        </w:rPr>
        <w:t xml:space="preserve">AES </w:t>
      </w:r>
      <w:r w:rsidRPr="00AF181E">
        <w:rPr>
          <w:rFonts w:asciiTheme="minorHAnsi" w:hAnsiTheme="minorHAnsi"/>
          <w:sz w:val="23"/>
          <w:szCs w:val="23"/>
        </w:rPr>
        <w:t xml:space="preserve">portfolio means that there would be little or no ability or incentive </w:t>
      </w:r>
      <w:r w:rsidR="00DF7442">
        <w:rPr>
          <w:rFonts w:asciiTheme="minorHAnsi" w:hAnsiTheme="minorHAnsi"/>
          <w:sz w:val="23"/>
          <w:szCs w:val="23"/>
        </w:rPr>
        <w:t>f</w:t>
      </w:r>
      <w:r w:rsidRPr="00AF181E">
        <w:rPr>
          <w:rFonts w:asciiTheme="minorHAnsi" w:hAnsiTheme="minorHAnsi"/>
          <w:sz w:val="23"/>
          <w:szCs w:val="23"/>
        </w:rPr>
        <w:t>o</w:t>
      </w:r>
      <w:r w:rsidR="00DF7442">
        <w:rPr>
          <w:rFonts w:asciiTheme="minorHAnsi" w:hAnsiTheme="minorHAnsi"/>
          <w:sz w:val="23"/>
          <w:szCs w:val="23"/>
        </w:rPr>
        <w:t>r</w:t>
      </w:r>
      <w:r w:rsidRPr="00AF181E">
        <w:rPr>
          <w:rFonts w:asciiTheme="minorHAnsi" w:hAnsiTheme="minorHAnsi"/>
          <w:sz w:val="23"/>
          <w:szCs w:val="23"/>
        </w:rPr>
        <w:t xml:space="preserve"> AES to withhold capacity in order to increase </w:t>
      </w:r>
      <w:r w:rsidR="00DF7442">
        <w:rPr>
          <w:rFonts w:asciiTheme="minorHAnsi" w:hAnsiTheme="minorHAnsi"/>
          <w:sz w:val="23"/>
          <w:szCs w:val="23"/>
        </w:rPr>
        <w:t>SMP</w:t>
      </w:r>
      <w:r w:rsidRPr="00AF181E">
        <w:rPr>
          <w:rFonts w:asciiTheme="minorHAnsi" w:hAnsiTheme="minorHAnsi"/>
          <w:sz w:val="23"/>
          <w:szCs w:val="23"/>
        </w:rPr>
        <w:t xml:space="preserve"> as the loss of availability income associated with the contracted plant and capacity payments associated with the uncontracted plant is more than likely to off-set any additional energy payments gained. In any event, </w:t>
      </w:r>
      <w:r w:rsidR="009C1922" w:rsidRPr="00AF181E">
        <w:rPr>
          <w:rFonts w:asciiTheme="minorHAnsi" w:hAnsiTheme="minorHAnsi"/>
          <w:sz w:val="23"/>
          <w:szCs w:val="23"/>
        </w:rPr>
        <w:t xml:space="preserve">AES </w:t>
      </w:r>
      <w:r w:rsidR="001B5BD9">
        <w:rPr>
          <w:rFonts w:asciiTheme="minorHAnsi" w:hAnsiTheme="minorHAnsi"/>
          <w:sz w:val="23"/>
          <w:szCs w:val="23"/>
        </w:rPr>
        <w:t>KPL</w:t>
      </w:r>
      <w:r w:rsidR="009C1922" w:rsidRPr="00AF181E">
        <w:rPr>
          <w:rFonts w:asciiTheme="minorHAnsi" w:hAnsiTheme="minorHAnsi"/>
          <w:sz w:val="23"/>
          <w:szCs w:val="23"/>
        </w:rPr>
        <w:t xml:space="preserve"> and AES </w:t>
      </w:r>
      <w:r w:rsidR="001B5BD9">
        <w:rPr>
          <w:rFonts w:asciiTheme="minorHAnsi" w:hAnsiTheme="minorHAnsi"/>
          <w:sz w:val="23"/>
          <w:szCs w:val="23"/>
        </w:rPr>
        <w:t>BL</w:t>
      </w:r>
      <w:r w:rsidR="009C1922" w:rsidRPr="00AF181E">
        <w:rPr>
          <w:rFonts w:asciiTheme="minorHAnsi" w:hAnsiTheme="minorHAnsi"/>
          <w:sz w:val="23"/>
          <w:szCs w:val="23"/>
        </w:rPr>
        <w:t xml:space="preserve"> </w:t>
      </w:r>
      <w:r w:rsidRPr="00AF181E">
        <w:rPr>
          <w:rFonts w:asciiTheme="minorHAnsi" w:hAnsiTheme="minorHAnsi"/>
          <w:sz w:val="23"/>
          <w:szCs w:val="23"/>
        </w:rPr>
        <w:t xml:space="preserve">would be in breach of their </w:t>
      </w:r>
      <w:r w:rsidR="009C1922" w:rsidRPr="00AF181E">
        <w:rPr>
          <w:rFonts w:asciiTheme="minorHAnsi" w:hAnsiTheme="minorHAnsi"/>
          <w:sz w:val="23"/>
          <w:szCs w:val="23"/>
        </w:rPr>
        <w:t xml:space="preserve">respective </w:t>
      </w:r>
      <w:r w:rsidR="00DF7442">
        <w:rPr>
          <w:rFonts w:asciiTheme="minorHAnsi" w:hAnsiTheme="minorHAnsi"/>
          <w:sz w:val="23"/>
          <w:szCs w:val="23"/>
        </w:rPr>
        <w:t>G</w:t>
      </w:r>
      <w:r w:rsidRPr="00AF181E">
        <w:rPr>
          <w:rFonts w:asciiTheme="minorHAnsi" w:hAnsiTheme="minorHAnsi"/>
          <w:sz w:val="23"/>
          <w:szCs w:val="23"/>
        </w:rPr>
        <w:t xml:space="preserve">eneration </w:t>
      </w:r>
      <w:r w:rsidR="00C565D0">
        <w:rPr>
          <w:rFonts w:asciiTheme="minorHAnsi" w:hAnsiTheme="minorHAnsi"/>
          <w:sz w:val="23"/>
          <w:szCs w:val="23"/>
        </w:rPr>
        <w:t>L</w:t>
      </w:r>
      <w:r w:rsidRPr="00AF181E">
        <w:rPr>
          <w:rFonts w:asciiTheme="minorHAnsi" w:hAnsiTheme="minorHAnsi"/>
          <w:sz w:val="23"/>
          <w:szCs w:val="23"/>
        </w:rPr>
        <w:t>icence</w:t>
      </w:r>
      <w:r w:rsidR="009C1922" w:rsidRPr="00AF181E">
        <w:rPr>
          <w:rFonts w:asciiTheme="minorHAnsi" w:hAnsiTheme="minorHAnsi"/>
          <w:sz w:val="23"/>
          <w:szCs w:val="23"/>
        </w:rPr>
        <w:t>s</w:t>
      </w:r>
      <w:r w:rsidRPr="00AF181E">
        <w:rPr>
          <w:rFonts w:asciiTheme="minorHAnsi" w:hAnsiTheme="minorHAnsi"/>
          <w:sz w:val="23"/>
          <w:szCs w:val="23"/>
        </w:rPr>
        <w:t xml:space="preserve"> and </w:t>
      </w:r>
      <w:r w:rsidR="00C565D0">
        <w:rPr>
          <w:rFonts w:asciiTheme="minorHAnsi" w:hAnsiTheme="minorHAnsi"/>
          <w:sz w:val="23"/>
          <w:szCs w:val="23"/>
        </w:rPr>
        <w:t>G</w:t>
      </w:r>
      <w:r w:rsidRPr="00AF181E">
        <w:rPr>
          <w:rFonts w:asciiTheme="minorHAnsi" w:hAnsiTheme="minorHAnsi"/>
          <w:sz w:val="23"/>
          <w:szCs w:val="23"/>
        </w:rPr>
        <w:t xml:space="preserve">rid </w:t>
      </w:r>
      <w:r w:rsidR="00C565D0">
        <w:rPr>
          <w:rFonts w:asciiTheme="minorHAnsi" w:hAnsiTheme="minorHAnsi"/>
          <w:sz w:val="23"/>
          <w:szCs w:val="23"/>
        </w:rPr>
        <w:t>C</w:t>
      </w:r>
      <w:r w:rsidRPr="00AF181E">
        <w:rPr>
          <w:rFonts w:asciiTheme="minorHAnsi" w:hAnsiTheme="minorHAnsi"/>
          <w:sz w:val="23"/>
          <w:szCs w:val="23"/>
        </w:rPr>
        <w:t>ode requirements if they withheld capacity from the system operator that was technically available for dispatch</w:t>
      </w:r>
      <w:r w:rsidRPr="00AF181E">
        <w:rPr>
          <w:rStyle w:val="FootnoteReference"/>
          <w:rFonts w:asciiTheme="minorHAnsi" w:hAnsiTheme="minorHAnsi"/>
          <w:sz w:val="23"/>
          <w:szCs w:val="23"/>
        </w:rPr>
        <w:footnoteReference w:id="2"/>
      </w:r>
      <w:r w:rsidRPr="00AF181E">
        <w:rPr>
          <w:rFonts w:asciiTheme="minorHAnsi" w:hAnsiTheme="minorHAnsi"/>
          <w:sz w:val="23"/>
          <w:szCs w:val="23"/>
        </w:rPr>
        <w:t>.</w:t>
      </w:r>
    </w:p>
    <w:p w:rsidR="00081BB7" w:rsidRPr="00AF181E" w:rsidRDefault="00081BB7" w:rsidP="004E3F49">
      <w:pPr>
        <w:autoSpaceDE w:val="0"/>
        <w:autoSpaceDN w:val="0"/>
        <w:adjustRightInd w:val="0"/>
        <w:spacing w:after="0" w:line="240" w:lineRule="auto"/>
        <w:jc w:val="both"/>
        <w:rPr>
          <w:sz w:val="23"/>
          <w:szCs w:val="23"/>
        </w:rPr>
      </w:pPr>
      <w:r w:rsidRPr="00AF181E">
        <w:rPr>
          <w:sz w:val="23"/>
          <w:szCs w:val="23"/>
        </w:rPr>
        <w:t xml:space="preserve">AES believes that the current AES </w:t>
      </w:r>
      <w:r w:rsidR="001B5BD9">
        <w:rPr>
          <w:sz w:val="23"/>
          <w:szCs w:val="23"/>
        </w:rPr>
        <w:t>KPL</w:t>
      </w:r>
      <w:r w:rsidRPr="00AF181E">
        <w:rPr>
          <w:sz w:val="23"/>
          <w:szCs w:val="23"/>
        </w:rPr>
        <w:t xml:space="preserve"> and AES </w:t>
      </w:r>
      <w:r w:rsidR="001B5BD9">
        <w:rPr>
          <w:sz w:val="23"/>
          <w:szCs w:val="23"/>
        </w:rPr>
        <w:t>BL</w:t>
      </w:r>
      <w:r w:rsidRPr="00AF181E">
        <w:rPr>
          <w:sz w:val="23"/>
          <w:szCs w:val="23"/>
        </w:rPr>
        <w:t xml:space="preserve"> </w:t>
      </w:r>
      <w:r w:rsidR="00C565D0">
        <w:rPr>
          <w:sz w:val="23"/>
          <w:szCs w:val="23"/>
        </w:rPr>
        <w:t>G</w:t>
      </w:r>
      <w:r w:rsidR="00DF7442">
        <w:rPr>
          <w:sz w:val="23"/>
          <w:szCs w:val="23"/>
        </w:rPr>
        <w:t xml:space="preserve">eneration </w:t>
      </w:r>
      <w:r w:rsidR="00C565D0">
        <w:rPr>
          <w:sz w:val="23"/>
          <w:szCs w:val="23"/>
        </w:rPr>
        <w:t>L</w:t>
      </w:r>
      <w:r w:rsidRPr="00AF181E">
        <w:rPr>
          <w:sz w:val="23"/>
          <w:szCs w:val="23"/>
        </w:rPr>
        <w:t xml:space="preserve">icence’s are fit for purpose and that the licences should not be amended to include </w:t>
      </w:r>
      <w:r w:rsidR="001B5BD9">
        <w:rPr>
          <w:sz w:val="23"/>
          <w:szCs w:val="23"/>
        </w:rPr>
        <w:t>D</w:t>
      </w:r>
      <w:r w:rsidRPr="00AF181E">
        <w:rPr>
          <w:rFonts w:cs="Calibri"/>
          <w:sz w:val="23"/>
          <w:szCs w:val="23"/>
          <w:lang w:val="en-US"/>
        </w:rPr>
        <w:t xml:space="preserve">irected </w:t>
      </w:r>
      <w:r w:rsidR="001B5BD9">
        <w:rPr>
          <w:rFonts w:cs="Calibri"/>
          <w:sz w:val="23"/>
          <w:szCs w:val="23"/>
          <w:lang w:val="en-US"/>
        </w:rPr>
        <w:t>C</w:t>
      </w:r>
      <w:r w:rsidRPr="00AF181E">
        <w:rPr>
          <w:rFonts w:cs="Calibri"/>
          <w:sz w:val="23"/>
          <w:szCs w:val="23"/>
          <w:lang w:val="en-US"/>
        </w:rPr>
        <w:t>ontract</w:t>
      </w:r>
      <w:r w:rsidR="00C565D0">
        <w:rPr>
          <w:rFonts w:cs="Calibri"/>
          <w:sz w:val="23"/>
          <w:szCs w:val="23"/>
          <w:lang w:val="en-US"/>
        </w:rPr>
        <w:t>,</w:t>
      </w:r>
      <w:r w:rsidRPr="00AF181E">
        <w:rPr>
          <w:rFonts w:cs="Calibri"/>
          <w:sz w:val="23"/>
          <w:szCs w:val="23"/>
          <w:lang w:val="en-US"/>
        </w:rPr>
        <w:t xml:space="preserve"> </w:t>
      </w:r>
      <w:r w:rsidR="004E3F49" w:rsidRPr="00AF181E">
        <w:rPr>
          <w:rFonts w:cs="Calibri"/>
          <w:sz w:val="23"/>
          <w:szCs w:val="23"/>
          <w:lang w:val="en-US"/>
        </w:rPr>
        <w:t xml:space="preserve">ringfencing </w:t>
      </w:r>
      <w:r w:rsidRPr="00AF181E">
        <w:rPr>
          <w:rFonts w:cs="Calibri"/>
          <w:sz w:val="23"/>
          <w:szCs w:val="23"/>
          <w:lang w:val="en-US"/>
        </w:rPr>
        <w:t>conditions or any other additional local market power mitigation measures</w:t>
      </w:r>
      <w:r w:rsidR="001B5BD9">
        <w:rPr>
          <w:rFonts w:cs="Calibri"/>
          <w:sz w:val="23"/>
          <w:szCs w:val="23"/>
          <w:lang w:val="en-US"/>
        </w:rPr>
        <w:t xml:space="preserve"> beyond those which are already in place</w:t>
      </w:r>
      <w:r w:rsidRPr="00AF181E">
        <w:rPr>
          <w:rFonts w:cs="Calibri"/>
          <w:sz w:val="23"/>
          <w:szCs w:val="23"/>
          <w:lang w:val="en-US"/>
        </w:rPr>
        <w:t>.</w:t>
      </w:r>
    </w:p>
    <w:p w:rsidR="00196938" w:rsidRPr="00AF181E" w:rsidRDefault="00196938" w:rsidP="002317EF">
      <w:pPr>
        <w:pStyle w:val="Default"/>
        <w:jc w:val="both"/>
        <w:rPr>
          <w:rFonts w:asciiTheme="minorHAnsi" w:hAnsiTheme="minorHAnsi"/>
          <w:sz w:val="23"/>
          <w:szCs w:val="23"/>
        </w:rPr>
      </w:pPr>
    </w:p>
    <w:p w:rsidR="00F13BB1" w:rsidRPr="00AF181E" w:rsidRDefault="00F13BB1" w:rsidP="002317EF">
      <w:pPr>
        <w:pStyle w:val="Default"/>
        <w:jc w:val="both"/>
        <w:rPr>
          <w:rFonts w:asciiTheme="minorHAnsi" w:hAnsiTheme="minorHAnsi"/>
          <w:sz w:val="23"/>
          <w:szCs w:val="23"/>
        </w:rPr>
      </w:pPr>
    </w:p>
    <w:p w:rsidR="00DE2B62" w:rsidRPr="008C7993" w:rsidRDefault="009F6016" w:rsidP="002317EF">
      <w:pPr>
        <w:pStyle w:val="Default"/>
        <w:jc w:val="both"/>
        <w:rPr>
          <w:rFonts w:asciiTheme="minorHAnsi" w:hAnsiTheme="minorHAnsi"/>
          <w:sz w:val="28"/>
          <w:szCs w:val="28"/>
        </w:rPr>
      </w:pPr>
      <w:r>
        <w:rPr>
          <w:rFonts w:asciiTheme="minorHAnsi" w:hAnsiTheme="minorHAnsi"/>
          <w:b/>
          <w:sz w:val="28"/>
          <w:szCs w:val="28"/>
        </w:rPr>
        <w:t xml:space="preserve">3. </w:t>
      </w:r>
      <w:r w:rsidR="00EE3E31">
        <w:rPr>
          <w:rFonts w:asciiTheme="minorHAnsi" w:hAnsiTheme="minorHAnsi"/>
          <w:b/>
          <w:sz w:val="28"/>
          <w:szCs w:val="28"/>
        </w:rPr>
        <w:tab/>
      </w:r>
      <w:r w:rsidR="00DE2B62" w:rsidRPr="008C7993">
        <w:rPr>
          <w:rFonts w:asciiTheme="minorHAnsi" w:hAnsiTheme="minorHAnsi"/>
          <w:b/>
          <w:sz w:val="28"/>
          <w:szCs w:val="28"/>
        </w:rPr>
        <w:t>Comments</w:t>
      </w:r>
    </w:p>
    <w:p w:rsidR="00A34F18" w:rsidRPr="00AF181E" w:rsidRDefault="00A34F18" w:rsidP="00AB1C8E">
      <w:pPr>
        <w:pStyle w:val="Default"/>
        <w:jc w:val="both"/>
        <w:rPr>
          <w:rFonts w:asciiTheme="minorHAnsi" w:hAnsiTheme="minorHAnsi"/>
          <w:sz w:val="23"/>
          <w:szCs w:val="23"/>
        </w:rPr>
      </w:pPr>
    </w:p>
    <w:p w:rsidR="00C879C0" w:rsidRPr="00EE3E31" w:rsidRDefault="009F6016" w:rsidP="00AB1C8E">
      <w:pPr>
        <w:pStyle w:val="Default"/>
        <w:jc w:val="both"/>
        <w:rPr>
          <w:rFonts w:asciiTheme="minorHAnsi" w:hAnsiTheme="minorHAnsi"/>
          <w:b/>
          <w:sz w:val="26"/>
          <w:szCs w:val="26"/>
        </w:rPr>
      </w:pPr>
      <w:r w:rsidRPr="00EE3E31">
        <w:rPr>
          <w:rFonts w:asciiTheme="minorHAnsi" w:hAnsiTheme="minorHAnsi"/>
          <w:b/>
          <w:sz w:val="26"/>
          <w:szCs w:val="26"/>
        </w:rPr>
        <w:t xml:space="preserve">3.1 </w:t>
      </w:r>
      <w:r w:rsidR="00EE3E31">
        <w:rPr>
          <w:rFonts w:asciiTheme="minorHAnsi" w:hAnsiTheme="minorHAnsi"/>
          <w:b/>
          <w:sz w:val="26"/>
          <w:szCs w:val="26"/>
        </w:rPr>
        <w:tab/>
      </w:r>
      <w:r w:rsidR="00C879C0" w:rsidRPr="00EE3E31">
        <w:rPr>
          <w:rFonts w:asciiTheme="minorHAnsi" w:hAnsiTheme="minorHAnsi"/>
          <w:b/>
          <w:sz w:val="26"/>
          <w:szCs w:val="26"/>
        </w:rPr>
        <w:t>Market Power Assessment</w:t>
      </w:r>
    </w:p>
    <w:p w:rsidR="00C879C0" w:rsidRPr="00AF181E" w:rsidRDefault="00C879C0" w:rsidP="00AB1C8E">
      <w:pPr>
        <w:pStyle w:val="Default"/>
        <w:jc w:val="both"/>
        <w:rPr>
          <w:rFonts w:asciiTheme="minorHAnsi" w:hAnsiTheme="minorHAnsi"/>
          <w:b/>
          <w:sz w:val="23"/>
          <w:szCs w:val="23"/>
        </w:rPr>
      </w:pPr>
    </w:p>
    <w:p w:rsidR="005416EF" w:rsidRPr="00EE3E31" w:rsidRDefault="009F6016" w:rsidP="009F6016">
      <w:pPr>
        <w:pStyle w:val="Default"/>
        <w:jc w:val="both"/>
        <w:rPr>
          <w:rFonts w:asciiTheme="minorHAnsi" w:hAnsiTheme="minorHAnsi"/>
          <w:b/>
        </w:rPr>
      </w:pPr>
      <w:r w:rsidRPr="00EE3E31">
        <w:rPr>
          <w:rFonts w:asciiTheme="minorHAnsi" w:hAnsiTheme="minorHAnsi"/>
          <w:b/>
        </w:rPr>
        <w:t xml:space="preserve">3.1.1 </w:t>
      </w:r>
      <w:r w:rsidR="00EE3E31">
        <w:rPr>
          <w:rFonts w:asciiTheme="minorHAnsi" w:hAnsiTheme="minorHAnsi"/>
          <w:b/>
        </w:rPr>
        <w:tab/>
      </w:r>
      <w:r w:rsidR="005416EF" w:rsidRPr="00EE3E31">
        <w:rPr>
          <w:rFonts w:asciiTheme="minorHAnsi" w:hAnsiTheme="minorHAnsi"/>
          <w:b/>
        </w:rPr>
        <w:t>Scenarios</w:t>
      </w:r>
    </w:p>
    <w:p w:rsidR="005416EF" w:rsidRPr="00AF181E" w:rsidRDefault="005416EF" w:rsidP="00AB1C8E">
      <w:pPr>
        <w:pStyle w:val="Default"/>
        <w:jc w:val="both"/>
        <w:rPr>
          <w:rFonts w:asciiTheme="minorHAnsi" w:hAnsiTheme="minorHAnsi"/>
          <w:b/>
          <w:sz w:val="23"/>
          <w:szCs w:val="23"/>
        </w:rPr>
      </w:pPr>
    </w:p>
    <w:p w:rsidR="00C879C0" w:rsidRPr="00AF181E" w:rsidRDefault="0079645F" w:rsidP="00AB1C8E">
      <w:pPr>
        <w:pStyle w:val="Default"/>
        <w:jc w:val="both"/>
        <w:rPr>
          <w:rFonts w:asciiTheme="minorHAnsi" w:hAnsiTheme="minorHAnsi"/>
          <w:sz w:val="23"/>
          <w:szCs w:val="23"/>
        </w:rPr>
      </w:pPr>
      <w:r w:rsidRPr="00AF181E">
        <w:rPr>
          <w:rFonts w:asciiTheme="minorHAnsi" w:hAnsiTheme="minorHAnsi"/>
          <w:sz w:val="23"/>
          <w:szCs w:val="23"/>
        </w:rPr>
        <w:t xml:space="preserve">The </w:t>
      </w:r>
      <w:r w:rsidR="002A5FA6" w:rsidRPr="00AF181E">
        <w:rPr>
          <w:rFonts w:asciiTheme="minorHAnsi" w:hAnsiTheme="minorHAnsi"/>
          <w:sz w:val="23"/>
          <w:szCs w:val="23"/>
        </w:rPr>
        <w:t>Consultation P</w:t>
      </w:r>
      <w:r w:rsidRPr="00AF181E">
        <w:rPr>
          <w:rFonts w:asciiTheme="minorHAnsi" w:hAnsiTheme="minorHAnsi"/>
          <w:sz w:val="23"/>
          <w:szCs w:val="23"/>
        </w:rPr>
        <w:t>aper assesses market power under two scenarios:</w:t>
      </w:r>
    </w:p>
    <w:p w:rsidR="00FF49C0" w:rsidRPr="00AF181E" w:rsidRDefault="00FF49C0" w:rsidP="0079645F">
      <w:pPr>
        <w:autoSpaceDE w:val="0"/>
        <w:autoSpaceDN w:val="0"/>
        <w:adjustRightInd w:val="0"/>
        <w:spacing w:after="0" w:line="240" w:lineRule="auto"/>
        <w:jc w:val="both"/>
        <w:rPr>
          <w:rFonts w:cs="Univers"/>
          <w:color w:val="000000"/>
          <w:sz w:val="23"/>
          <w:szCs w:val="23"/>
        </w:rPr>
      </w:pPr>
    </w:p>
    <w:p w:rsidR="0079645F" w:rsidRPr="00AF181E" w:rsidRDefault="00FF49C0" w:rsidP="00F12650">
      <w:pPr>
        <w:autoSpaceDE w:val="0"/>
        <w:autoSpaceDN w:val="0"/>
        <w:adjustRightInd w:val="0"/>
        <w:spacing w:after="0" w:line="240" w:lineRule="auto"/>
        <w:ind w:left="720"/>
        <w:rPr>
          <w:rFonts w:cs="Calibri"/>
          <w:sz w:val="23"/>
          <w:szCs w:val="23"/>
          <w:lang w:val="en-US"/>
        </w:rPr>
      </w:pPr>
      <w:r w:rsidRPr="00AF181E">
        <w:rPr>
          <w:rFonts w:cs="Calibri-Bold"/>
          <w:b/>
          <w:bCs/>
          <w:sz w:val="23"/>
          <w:szCs w:val="23"/>
          <w:lang w:val="en-US"/>
        </w:rPr>
        <w:t>Scenario 1</w:t>
      </w:r>
      <w:r w:rsidR="0079645F" w:rsidRPr="00AF181E">
        <w:rPr>
          <w:rFonts w:cs="Calibri"/>
          <w:sz w:val="23"/>
          <w:szCs w:val="23"/>
          <w:lang w:val="en-US"/>
        </w:rPr>
        <w:t>: All Kilroot and Ballylumford units combined in to a single entity (1,831MW).</w:t>
      </w:r>
    </w:p>
    <w:p w:rsidR="00FF49C0" w:rsidRPr="00AF181E" w:rsidRDefault="00FF49C0" w:rsidP="00F12650">
      <w:pPr>
        <w:autoSpaceDE w:val="0"/>
        <w:autoSpaceDN w:val="0"/>
        <w:adjustRightInd w:val="0"/>
        <w:spacing w:after="0" w:line="240" w:lineRule="auto"/>
        <w:ind w:left="720"/>
        <w:jc w:val="both"/>
        <w:rPr>
          <w:rFonts w:cs="Calibri-Bold"/>
          <w:b/>
          <w:bCs/>
          <w:sz w:val="23"/>
          <w:szCs w:val="23"/>
          <w:lang w:val="en-US"/>
        </w:rPr>
      </w:pPr>
    </w:p>
    <w:p w:rsidR="0079645F" w:rsidRPr="00AF181E" w:rsidRDefault="00FF49C0" w:rsidP="00F12650">
      <w:pPr>
        <w:autoSpaceDE w:val="0"/>
        <w:autoSpaceDN w:val="0"/>
        <w:adjustRightInd w:val="0"/>
        <w:spacing w:after="0" w:line="240" w:lineRule="auto"/>
        <w:ind w:left="720"/>
        <w:rPr>
          <w:rFonts w:cs="Calibri"/>
          <w:sz w:val="23"/>
          <w:szCs w:val="23"/>
          <w:lang w:val="en-US"/>
        </w:rPr>
      </w:pPr>
      <w:r w:rsidRPr="00AF181E">
        <w:rPr>
          <w:rFonts w:cs="Calibri-Bold"/>
          <w:b/>
          <w:bCs/>
          <w:sz w:val="23"/>
          <w:szCs w:val="23"/>
          <w:lang w:val="en-US"/>
        </w:rPr>
        <w:t>Scenario 2</w:t>
      </w:r>
      <w:r w:rsidR="0079645F" w:rsidRPr="00AF181E">
        <w:rPr>
          <w:rFonts w:cs="Calibri"/>
          <w:sz w:val="23"/>
          <w:szCs w:val="23"/>
          <w:lang w:val="en-US"/>
        </w:rPr>
        <w:t>: Kilroot and Ballylumford uncontracted units grouped together (900MW) and the contracted PPB units considered separately (931MW).</w:t>
      </w:r>
    </w:p>
    <w:p w:rsidR="0079645F" w:rsidRPr="00AF181E" w:rsidRDefault="0079645F" w:rsidP="0079645F">
      <w:pPr>
        <w:pStyle w:val="Default"/>
        <w:jc w:val="both"/>
        <w:rPr>
          <w:rFonts w:asciiTheme="minorHAnsi" w:hAnsiTheme="minorHAnsi"/>
          <w:sz w:val="23"/>
          <w:szCs w:val="23"/>
        </w:rPr>
      </w:pPr>
    </w:p>
    <w:p w:rsidR="004445F8" w:rsidRPr="00AF181E" w:rsidRDefault="00FF49C0" w:rsidP="004445F8">
      <w:pPr>
        <w:jc w:val="both"/>
        <w:rPr>
          <w:sz w:val="23"/>
          <w:szCs w:val="23"/>
        </w:rPr>
      </w:pPr>
      <w:r w:rsidRPr="00AF181E">
        <w:rPr>
          <w:sz w:val="23"/>
          <w:szCs w:val="23"/>
        </w:rPr>
        <w:t>As the paper rightly points out several of the generation units at Kilroot and Ballylumford totalling 931MW (51%) are under contract to NIEE</w:t>
      </w:r>
      <w:r w:rsidR="00F12650">
        <w:rPr>
          <w:sz w:val="23"/>
          <w:szCs w:val="23"/>
        </w:rPr>
        <w:t xml:space="preserve">. </w:t>
      </w:r>
      <w:r w:rsidR="00414DB9">
        <w:rPr>
          <w:rFonts w:cs="Calibri"/>
          <w:sz w:val="23"/>
          <w:szCs w:val="23"/>
          <w:lang w:val="en-US"/>
        </w:rPr>
        <w:t>E</w:t>
      </w:r>
      <w:r w:rsidR="00414DB9" w:rsidRPr="00AF181E">
        <w:rPr>
          <w:rFonts w:cs="Calibri"/>
          <w:sz w:val="23"/>
          <w:szCs w:val="23"/>
          <w:lang w:val="en-US"/>
        </w:rPr>
        <w:t>ffectively</w:t>
      </w:r>
      <w:r w:rsidRPr="00AF181E">
        <w:rPr>
          <w:rFonts w:cs="Calibri"/>
          <w:sz w:val="23"/>
          <w:szCs w:val="23"/>
          <w:lang w:val="en-US"/>
        </w:rPr>
        <w:t xml:space="preserve"> this means that </w:t>
      </w:r>
      <w:r w:rsidR="00F12650">
        <w:rPr>
          <w:rFonts w:cs="Calibri"/>
          <w:sz w:val="23"/>
          <w:szCs w:val="23"/>
          <w:lang w:val="en-US"/>
        </w:rPr>
        <w:t xml:space="preserve">NIEE </w:t>
      </w:r>
      <w:r w:rsidR="00F12650" w:rsidRPr="00AF181E">
        <w:rPr>
          <w:rFonts w:cs="Calibri"/>
          <w:sz w:val="23"/>
          <w:szCs w:val="23"/>
          <w:lang w:val="en-US"/>
        </w:rPr>
        <w:t xml:space="preserve">PPB </w:t>
      </w:r>
      <w:r w:rsidR="00F12650">
        <w:rPr>
          <w:rFonts w:cs="Calibri"/>
          <w:sz w:val="23"/>
          <w:szCs w:val="23"/>
          <w:lang w:val="en-US"/>
        </w:rPr>
        <w:t xml:space="preserve">is responsible for </w:t>
      </w:r>
      <w:r w:rsidRPr="00AF181E">
        <w:rPr>
          <w:rFonts w:cs="Calibri"/>
          <w:sz w:val="23"/>
          <w:szCs w:val="23"/>
          <w:lang w:val="en-US"/>
        </w:rPr>
        <w:t>the commercial activity of the</w:t>
      </w:r>
      <w:r w:rsidR="00F12650">
        <w:rPr>
          <w:rFonts w:cs="Calibri"/>
          <w:sz w:val="23"/>
          <w:szCs w:val="23"/>
          <w:lang w:val="en-US"/>
        </w:rPr>
        <w:t>se</w:t>
      </w:r>
      <w:r w:rsidRPr="00AF181E">
        <w:rPr>
          <w:rFonts w:cs="Calibri"/>
          <w:sz w:val="23"/>
          <w:szCs w:val="23"/>
          <w:lang w:val="en-US"/>
        </w:rPr>
        <w:t xml:space="preserve"> in the SEM</w:t>
      </w:r>
      <w:r w:rsidR="00F12650">
        <w:rPr>
          <w:rFonts w:cs="Calibri"/>
          <w:sz w:val="23"/>
          <w:szCs w:val="23"/>
          <w:lang w:val="en-US"/>
        </w:rPr>
        <w:t xml:space="preserve"> </w:t>
      </w:r>
      <w:r w:rsidRPr="00AF181E">
        <w:rPr>
          <w:rFonts w:cs="Calibri"/>
          <w:sz w:val="23"/>
          <w:szCs w:val="23"/>
          <w:lang w:val="en-US"/>
        </w:rPr>
        <w:t>rather than</w:t>
      </w:r>
      <w:r w:rsidR="003579CA" w:rsidRPr="00AF181E">
        <w:rPr>
          <w:rFonts w:cs="Calibri"/>
          <w:sz w:val="23"/>
          <w:szCs w:val="23"/>
          <w:lang w:val="en-US"/>
        </w:rPr>
        <w:t xml:space="preserve"> AES</w:t>
      </w:r>
      <w:r w:rsidRPr="00AF181E">
        <w:rPr>
          <w:sz w:val="23"/>
          <w:szCs w:val="23"/>
        </w:rPr>
        <w:t>. NIEE</w:t>
      </w:r>
      <w:r w:rsidR="001B5BD9">
        <w:rPr>
          <w:sz w:val="23"/>
          <w:szCs w:val="23"/>
        </w:rPr>
        <w:t xml:space="preserve"> PPB</w:t>
      </w:r>
      <w:r w:rsidR="00AC4E2D" w:rsidRPr="00AF181E">
        <w:rPr>
          <w:sz w:val="23"/>
          <w:szCs w:val="23"/>
        </w:rPr>
        <w:t xml:space="preserve"> </w:t>
      </w:r>
      <w:r w:rsidRPr="00AF181E">
        <w:rPr>
          <w:sz w:val="23"/>
          <w:szCs w:val="23"/>
        </w:rPr>
        <w:t>bids th</w:t>
      </w:r>
      <w:r w:rsidR="003579CA" w:rsidRPr="00AF181E">
        <w:rPr>
          <w:sz w:val="23"/>
          <w:szCs w:val="23"/>
        </w:rPr>
        <w:t>e contracted</w:t>
      </w:r>
      <w:r w:rsidRPr="00AF181E">
        <w:rPr>
          <w:sz w:val="23"/>
          <w:szCs w:val="23"/>
        </w:rPr>
        <w:t xml:space="preserve"> capacity into </w:t>
      </w:r>
      <w:r w:rsidR="003579CA" w:rsidRPr="00AF181E">
        <w:rPr>
          <w:sz w:val="23"/>
          <w:szCs w:val="23"/>
        </w:rPr>
        <w:t xml:space="preserve">the </w:t>
      </w:r>
      <w:r w:rsidRPr="00AF181E">
        <w:rPr>
          <w:sz w:val="23"/>
          <w:szCs w:val="23"/>
        </w:rPr>
        <w:t xml:space="preserve">SEM and </w:t>
      </w:r>
      <w:r w:rsidR="001B5BD9">
        <w:rPr>
          <w:sz w:val="23"/>
          <w:szCs w:val="23"/>
        </w:rPr>
        <w:t xml:space="preserve">retains sole commercial interest for the units in the SEM. </w:t>
      </w:r>
      <w:r w:rsidRPr="00AF181E">
        <w:rPr>
          <w:sz w:val="23"/>
          <w:szCs w:val="23"/>
        </w:rPr>
        <w:t xml:space="preserve">AES is compensated </w:t>
      </w:r>
      <w:r w:rsidR="001B5BD9">
        <w:rPr>
          <w:sz w:val="23"/>
          <w:szCs w:val="23"/>
        </w:rPr>
        <w:t>under the respective Power Purchase Agreements which are</w:t>
      </w:r>
      <w:r w:rsidRPr="00AF181E">
        <w:rPr>
          <w:sz w:val="23"/>
          <w:szCs w:val="23"/>
        </w:rPr>
        <w:t xml:space="preserve"> unconnected to the operation of the SEM. </w:t>
      </w:r>
    </w:p>
    <w:p w:rsidR="001C29E8" w:rsidRPr="00AF181E" w:rsidRDefault="004445F8" w:rsidP="00B70C37">
      <w:pPr>
        <w:pStyle w:val="Default"/>
        <w:jc w:val="both"/>
        <w:rPr>
          <w:rFonts w:asciiTheme="minorHAnsi" w:hAnsiTheme="minorHAnsi" w:cs="Garamond"/>
          <w:sz w:val="23"/>
          <w:szCs w:val="23"/>
          <w:lang w:val="en-US"/>
        </w:rPr>
      </w:pPr>
      <w:r w:rsidRPr="00AF181E">
        <w:rPr>
          <w:rFonts w:asciiTheme="minorHAnsi" w:hAnsiTheme="minorHAnsi"/>
          <w:sz w:val="23"/>
          <w:szCs w:val="23"/>
        </w:rPr>
        <w:t xml:space="preserve">AES </w:t>
      </w:r>
      <w:r w:rsidR="001B5BD9">
        <w:rPr>
          <w:rFonts w:asciiTheme="minorHAnsi" w:hAnsiTheme="minorHAnsi"/>
          <w:sz w:val="23"/>
          <w:szCs w:val="23"/>
        </w:rPr>
        <w:t>KPL</w:t>
      </w:r>
      <w:r w:rsidRPr="00AF181E">
        <w:rPr>
          <w:rFonts w:asciiTheme="minorHAnsi" w:hAnsiTheme="minorHAnsi"/>
          <w:sz w:val="23"/>
          <w:szCs w:val="23"/>
        </w:rPr>
        <w:t xml:space="preserve"> and AES </w:t>
      </w:r>
      <w:r w:rsidR="001B5BD9">
        <w:rPr>
          <w:rFonts w:asciiTheme="minorHAnsi" w:hAnsiTheme="minorHAnsi"/>
          <w:sz w:val="23"/>
          <w:szCs w:val="23"/>
        </w:rPr>
        <w:t>BL</w:t>
      </w:r>
      <w:r w:rsidRPr="00AF181E">
        <w:rPr>
          <w:rFonts w:asciiTheme="minorHAnsi" w:hAnsiTheme="minorHAnsi"/>
          <w:sz w:val="23"/>
          <w:szCs w:val="23"/>
        </w:rPr>
        <w:t xml:space="preserve"> have </w:t>
      </w:r>
      <w:r w:rsidR="00AC4E2D" w:rsidRPr="00AF181E">
        <w:rPr>
          <w:rFonts w:asciiTheme="minorHAnsi" w:hAnsiTheme="minorHAnsi"/>
          <w:color w:val="auto"/>
          <w:sz w:val="23"/>
          <w:szCs w:val="23"/>
        </w:rPr>
        <w:t>Intermediary Agreements</w:t>
      </w:r>
      <w:r w:rsidR="001B5BD9">
        <w:rPr>
          <w:rFonts w:asciiTheme="minorHAnsi" w:hAnsiTheme="minorHAnsi"/>
          <w:color w:val="auto"/>
          <w:sz w:val="23"/>
          <w:szCs w:val="23"/>
        </w:rPr>
        <w:t xml:space="preserve"> (IAs)</w:t>
      </w:r>
      <w:r w:rsidR="00AC4E2D" w:rsidRPr="00AF181E">
        <w:rPr>
          <w:rFonts w:asciiTheme="minorHAnsi" w:hAnsiTheme="minorHAnsi"/>
          <w:color w:val="auto"/>
          <w:sz w:val="23"/>
          <w:szCs w:val="23"/>
        </w:rPr>
        <w:t xml:space="preserve"> w</w:t>
      </w:r>
      <w:r w:rsidR="003367F6" w:rsidRPr="00AF181E">
        <w:rPr>
          <w:rFonts w:asciiTheme="minorHAnsi" w:hAnsiTheme="minorHAnsi"/>
          <w:sz w:val="23"/>
          <w:szCs w:val="23"/>
        </w:rPr>
        <w:t xml:space="preserve">hich outline the terms under which </w:t>
      </w:r>
      <w:r w:rsidRPr="00AF181E">
        <w:rPr>
          <w:rFonts w:asciiTheme="minorHAnsi" w:hAnsiTheme="minorHAnsi"/>
          <w:sz w:val="23"/>
          <w:szCs w:val="23"/>
        </w:rPr>
        <w:t>NIEE</w:t>
      </w:r>
      <w:r w:rsidR="003367F6" w:rsidRPr="00AF181E">
        <w:rPr>
          <w:rFonts w:asciiTheme="minorHAnsi" w:hAnsiTheme="minorHAnsi"/>
          <w:sz w:val="23"/>
          <w:szCs w:val="23"/>
        </w:rPr>
        <w:t xml:space="preserve"> </w:t>
      </w:r>
      <w:r w:rsidR="002E30AD">
        <w:rPr>
          <w:rFonts w:asciiTheme="minorHAnsi" w:hAnsiTheme="minorHAnsi"/>
          <w:sz w:val="23"/>
          <w:szCs w:val="23"/>
        </w:rPr>
        <w:t xml:space="preserve">PPB </w:t>
      </w:r>
      <w:r w:rsidR="003367F6" w:rsidRPr="00AF181E">
        <w:rPr>
          <w:rFonts w:asciiTheme="minorHAnsi" w:hAnsiTheme="minorHAnsi"/>
          <w:sz w:val="23"/>
          <w:szCs w:val="23"/>
        </w:rPr>
        <w:t xml:space="preserve">bids the contracted plant into the SEM and the obligations of the respective parties. Under the terms of their respective </w:t>
      </w:r>
      <w:r w:rsidR="003367F6" w:rsidRPr="00AF181E">
        <w:rPr>
          <w:rFonts w:asciiTheme="minorHAnsi" w:hAnsiTheme="minorHAnsi"/>
          <w:color w:val="auto"/>
          <w:sz w:val="23"/>
          <w:szCs w:val="23"/>
        </w:rPr>
        <w:t>I</w:t>
      </w:r>
      <w:r w:rsidR="001B5BD9">
        <w:rPr>
          <w:rFonts w:asciiTheme="minorHAnsi" w:hAnsiTheme="minorHAnsi"/>
          <w:color w:val="auto"/>
          <w:sz w:val="23"/>
          <w:szCs w:val="23"/>
        </w:rPr>
        <w:t>As</w:t>
      </w:r>
      <w:r w:rsidR="003367F6" w:rsidRPr="00AF181E">
        <w:rPr>
          <w:rFonts w:asciiTheme="minorHAnsi" w:hAnsiTheme="minorHAnsi"/>
          <w:sz w:val="23"/>
          <w:szCs w:val="23"/>
        </w:rPr>
        <w:t xml:space="preserve"> AES </w:t>
      </w:r>
      <w:r w:rsidR="001B5BD9">
        <w:rPr>
          <w:rFonts w:asciiTheme="minorHAnsi" w:hAnsiTheme="minorHAnsi"/>
          <w:sz w:val="23"/>
          <w:szCs w:val="23"/>
        </w:rPr>
        <w:t>KPL</w:t>
      </w:r>
      <w:r w:rsidR="003367F6" w:rsidRPr="00AF181E">
        <w:rPr>
          <w:rFonts w:asciiTheme="minorHAnsi" w:hAnsiTheme="minorHAnsi"/>
          <w:sz w:val="23"/>
          <w:szCs w:val="23"/>
        </w:rPr>
        <w:t xml:space="preserve"> and AES </w:t>
      </w:r>
      <w:r w:rsidR="001B5BD9">
        <w:rPr>
          <w:rFonts w:asciiTheme="minorHAnsi" w:hAnsiTheme="minorHAnsi"/>
          <w:sz w:val="23"/>
          <w:szCs w:val="23"/>
        </w:rPr>
        <w:t>BL</w:t>
      </w:r>
      <w:r w:rsidR="00AC4E2D" w:rsidRPr="00AF181E">
        <w:rPr>
          <w:rFonts w:asciiTheme="minorHAnsi" w:hAnsiTheme="minorHAnsi"/>
          <w:color w:val="auto"/>
          <w:sz w:val="23"/>
          <w:szCs w:val="23"/>
        </w:rPr>
        <w:t xml:space="preserve"> provide </w:t>
      </w:r>
      <w:r w:rsidR="003367F6" w:rsidRPr="00AF181E">
        <w:rPr>
          <w:rFonts w:asciiTheme="minorHAnsi" w:hAnsiTheme="minorHAnsi"/>
          <w:sz w:val="23"/>
          <w:szCs w:val="23"/>
        </w:rPr>
        <w:t xml:space="preserve">NIEE </w:t>
      </w:r>
      <w:r w:rsidR="002E30AD">
        <w:rPr>
          <w:rFonts w:asciiTheme="minorHAnsi" w:hAnsiTheme="minorHAnsi"/>
          <w:sz w:val="23"/>
          <w:szCs w:val="23"/>
        </w:rPr>
        <w:t xml:space="preserve">PPB </w:t>
      </w:r>
      <w:r w:rsidR="00AC4E2D" w:rsidRPr="00AF181E">
        <w:rPr>
          <w:rFonts w:asciiTheme="minorHAnsi" w:hAnsiTheme="minorHAnsi"/>
          <w:color w:val="auto"/>
          <w:sz w:val="23"/>
          <w:szCs w:val="23"/>
        </w:rPr>
        <w:t xml:space="preserve">with Technical Offer Data and </w:t>
      </w:r>
      <w:r w:rsidR="003367F6" w:rsidRPr="00AF181E">
        <w:rPr>
          <w:rFonts w:asciiTheme="minorHAnsi" w:hAnsiTheme="minorHAnsi"/>
          <w:sz w:val="23"/>
          <w:szCs w:val="23"/>
        </w:rPr>
        <w:t xml:space="preserve">some </w:t>
      </w:r>
      <w:r w:rsidR="00AC4E2D" w:rsidRPr="00AF181E">
        <w:rPr>
          <w:rFonts w:asciiTheme="minorHAnsi" w:hAnsiTheme="minorHAnsi"/>
          <w:color w:val="auto"/>
          <w:sz w:val="23"/>
          <w:szCs w:val="23"/>
        </w:rPr>
        <w:t>Commercial Offer Data</w:t>
      </w:r>
      <w:r w:rsidR="003367F6" w:rsidRPr="00AF181E">
        <w:rPr>
          <w:rFonts w:asciiTheme="minorHAnsi" w:hAnsiTheme="minorHAnsi"/>
          <w:sz w:val="23"/>
          <w:szCs w:val="23"/>
        </w:rPr>
        <w:t xml:space="preserve"> (start up costs, no load costs and variable operating and maintenance costs). AES </w:t>
      </w:r>
      <w:r w:rsidR="001B5BD9">
        <w:rPr>
          <w:rFonts w:asciiTheme="minorHAnsi" w:hAnsiTheme="minorHAnsi"/>
          <w:sz w:val="23"/>
          <w:szCs w:val="23"/>
        </w:rPr>
        <w:t>KPL</w:t>
      </w:r>
      <w:r w:rsidR="003367F6" w:rsidRPr="00AF181E">
        <w:rPr>
          <w:rFonts w:asciiTheme="minorHAnsi" w:hAnsiTheme="minorHAnsi"/>
          <w:sz w:val="23"/>
          <w:szCs w:val="23"/>
        </w:rPr>
        <w:t xml:space="preserve"> and AES </w:t>
      </w:r>
      <w:r w:rsidR="001B5BD9">
        <w:rPr>
          <w:rFonts w:asciiTheme="minorHAnsi" w:hAnsiTheme="minorHAnsi"/>
          <w:sz w:val="23"/>
          <w:szCs w:val="23"/>
        </w:rPr>
        <w:t>BL</w:t>
      </w:r>
      <w:r w:rsidR="003367F6" w:rsidRPr="00AF181E">
        <w:rPr>
          <w:rFonts w:asciiTheme="minorHAnsi" w:hAnsiTheme="minorHAnsi"/>
          <w:color w:val="auto"/>
          <w:sz w:val="23"/>
          <w:szCs w:val="23"/>
        </w:rPr>
        <w:t xml:space="preserve"> </w:t>
      </w:r>
      <w:r w:rsidR="003367F6" w:rsidRPr="00AF181E">
        <w:rPr>
          <w:rFonts w:asciiTheme="minorHAnsi" w:hAnsiTheme="minorHAnsi"/>
          <w:sz w:val="23"/>
          <w:szCs w:val="23"/>
        </w:rPr>
        <w:t>do not provide NIEE</w:t>
      </w:r>
      <w:r w:rsidR="002E30AD">
        <w:rPr>
          <w:rFonts w:asciiTheme="minorHAnsi" w:hAnsiTheme="minorHAnsi"/>
          <w:sz w:val="23"/>
          <w:szCs w:val="23"/>
        </w:rPr>
        <w:t xml:space="preserve"> PPB</w:t>
      </w:r>
      <w:r w:rsidR="00AC4E2D" w:rsidRPr="00AF181E">
        <w:rPr>
          <w:rFonts w:asciiTheme="minorHAnsi" w:hAnsiTheme="minorHAnsi"/>
          <w:color w:val="auto"/>
          <w:sz w:val="23"/>
          <w:szCs w:val="23"/>
        </w:rPr>
        <w:t xml:space="preserve"> </w:t>
      </w:r>
      <w:r w:rsidR="003367F6" w:rsidRPr="00AF181E">
        <w:rPr>
          <w:rFonts w:asciiTheme="minorHAnsi" w:hAnsiTheme="minorHAnsi"/>
          <w:sz w:val="23"/>
          <w:szCs w:val="23"/>
        </w:rPr>
        <w:t xml:space="preserve">with commodity prices (fuel/carbon) or </w:t>
      </w:r>
      <w:r w:rsidR="003367F6" w:rsidRPr="00AF181E">
        <w:rPr>
          <w:rFonts w:asciiTheme="minorHAnsi" w:hAnsiTheme="minorHAnsi"/>
          <w:sz w:val="23"/>
          <w:szCs w:val="23"/>
        </w:rPr>
        <w:lastRenderedPageBreak/>
        <w:t xml:space="preserve">exchange rates. NIEE </w:t>
      </w:r>
      <w:r w:rsidR="001B5BD9">
        <w:rPr>
          <w:rFonts w:asciiTheme="minorHAnsi" w:hAnsiTheme="minorHAnsi"/>
          <w:sz w:val="23"/>
          <w:szCs w:val="23"/>
        </w:rPr>
        <w:t xml:space="preserve">PPB </w:t>
      </w:r>
      <w:r w:rsidR="003367F6" w:rsidRPr="00AF181E">
        <w:rPr>
          <w:rFonts w:asciiTheme="minorHAnsi" w:hAnsiTheme="minorHAnsi"/>
          <w:sz w:val="23"/>
          <w:szCs w:val="23"/>
        </w:rPr>
        <w:t>constructs</w:t>
      </w:r>
      <w:r w:rsidR="008223DE" w:rsidRPr="00AF181E">
        <w:rPr>
          <w:rFonts w:asciiTheme="minorHAnsi" w:hAnsiTheme="minorHAnsi"/>
          <w:sz w:val="23"/>
          <w:szCs w:val="23"/>
        </w:rPr>
        <w:t xml:space="preserve"> and submits the price/quantity pairs for the contracted plant using its commodity prices and exchange rates and the variable operating and maintenance costs provided by AES </w:t>
      </w:r>
      <w:r w:rsidR="001B5BD9">
        <w:rPr>
          <w:rFonts w:asciiTheme="minorHAnsi" w:hAnsiTheme="minorHAnsi"/>
          <w:sz w:val="23"/>
          <w:szCs w:val="23"/>
        </w:rPr>
        <w:t>KPL</w:t>
      </w:r>
      <w:r w:rsidR="008223DE" w:rsidRPr="00AF181E">
        <w:rPr>
          <w:rFonts w:asciiTheme="minorHAnsi" w:hAnsiTheme="minorHAnsi"/>
          <w:sz w:val="23"/>
          <w:szCs w:val="23"/>
        </w:rPr>
        <w:t xml:space="preserve"> and AES </w:t>
      </w:r>
      <w:r w:rsidR="001B5BD9">
        <w:rPr>
          <w:rFonts w:asciiTheme="minorHAnsi" w:hAnsiTheme="minorHAnsi"/>
          <w:sz w:val="23"/>
          <w:szCs w:val="23"/>
        </w:rPr>
        <w:t>BL</w:t>
      </w:r>
      <w:r w:rsidR="008223DE" w:rsidRPr="00AF181E">
        <w:rPr>
          <w:rFonts w:asciiTheme="minorHAnsi" w:hAnsiTheme="minorHAnsi"/>
          <w:sz w:val="23"/>
          <w:szCs w:val="23"/>
        </w:rPr>
        <w:t>.</w:t>
      </w:r>
      <w:r w:rsidR="001C29E8" w:rsidRPr="00AF181E">
        <w:rPr>
          <w:rFonts w:asciiTheme="minorHAnsi" w:hAnsiTheme="minorHAnsi"/>
          <w:sz w:val="23"/>
          <w:szCs w:val="23"/>
        </w:rPr>
        <w:t xml:space="preserve"> Condition 18 of the </w:t>
      </w:r>
      <w:r w:rsidR="008D5DBE">
        <w:rPr>
          <w:rFonts w:asciiTheme="minorHAnsi" w:hAnsiTheme="minorHAnsi"/>
          <w:sz w:val="23"/>
          <w:szCs w:val="23"/>
        </w:rPr>
        <w:t xml:space="preserve">AES </w:t>
      </w:r>
      <w:r w:rsidR="001B5BD9" w:rsidRPr="00AF181E">
        <w:rPr>
          <w:rFonts w:asciiTheme="minorHAnsi" w:hAnsiTheme="minorHAnsi"/>
          <w:sz w:val="23"/>
          <w:szCs w:val="23"/>
        </w:rPr>
        <w:t>K</w:t>
      </w:r>
      <w:r w:rsidR="008D5DBE">
        <w:rPr>
          <w:rFonts w:asciiTheme="minorHAnsi" w:hAnsiTheme="minorHAnsi"/>
          <w:sz w:val="23"/>
          <w:szCs w:val="23"/>
        </w:rPr>
        <w:t>PL</w:t>
      </w:r>
      <w:r w:rsidR="001B5BD9">
        <w:rPr>
          <w:rFonts w:asciiTheme="minorHAnsi" w:hAnsiTheme="minorHAnsi"/>
          <w:sz w:val="23"/>
          <w:szCs w:val="23"/>
        </w:rPr>
        <w:t xml:space="preserve"> and</w:t>
      </w:r>
      <w:r w:rsidR="001B5BD9" w:rsidRPr="00AF181E">
        <w:rPr>
          <w:rFonts w:asciiTheme="minorHAnsi" w:hAnsiTheme="minorHAnsi"/>
          <w:sz w:val="23"/>
          <w:szCs w:val="23"/>
        </w:rPr>
        <w:t xml:space="preserve"> </w:t>
      </w:r>
      <w:r w:rsidR="008D5DBE">
        <w:rPr>
          <w:rFonts w:asciiTheme="minorHAnsi" w:hAnsiTheme="minorHAnsi"/>
          <w:sz w:val="23"/>
          <w:szCs w:val="23"/>
        </w:rPr>
        <w:t xml:space="preserve">AES </w:t>
      </w:r>
      <w:r w:rsidR="001B5BD9" w:rsidRPr="00AF181E">
        <w:rPr>
          <w:rFonts w:asciiTheme="minorHAnsi" w:hAnsiTheme="minorHAnsi"/>
          <w:sz w:val="23"/>
          <w:szCs w:val="23"/>
        </w:rPr>
        <w:t>B</w:t>
      </w:r>
      <w:r w:rsidR="008D5DBE">
        <w:rPr>
          <w:rFonts w:asciiTheme="minorHAnsi" w:hAnsiTheme="minorHAnsi"/>
          <w:sz w:val="23"/>
          <w:szCs w:val="23"/>
        </w:rPr>
        <w:t>L</w:t>
      </w:r>
      <w:r w:rsidR="001B5BD9" w:rsidRPr="00AF181E">
        <w:rPr>
          <w:rFonts w:asciiTheme="minorHAnsi" w:hAnsiTheme="minorHAnsi"/>
          <w:sz w:val="23"/>
          <w:szCs w:val="23"/>
        </w:rPr>
        <w:t xml:space="preserve"> </w:t>
      </w:r>
      <w:r w:rsidR="00414DB9">
        <w:rPr>
          <w:rFonts w:asciiTheme="minorHAnsi" w:hAnsiTheme="minorHAnsi"/>
          <w:sz w:val="23"/>
          <w:szCs w:val="23"/>
        </w:rPr>
        <w:t>G</w:t>
      </w:r>
      <w:r w:rsidR="001C29E8" w:rsidRPr="00AF181E">
        <w:rPr>
          <w:rFonts w:asciiTheme="minorHAnsi" w:hAnsiTheme="minorHAnsi"/>
          <w:sz w:val="23"/>
          <w:szCs w:val="23"/>
        </w:rPr>
        <w:t xml:space="preserve">eneration </w:t>
      </w:r>
      <w:r w:rsidR="00414DB9">
        <w:rPr>
          <w:rFonts w:asciiTheme="minorHAnsi" w:hAnsiTheme="minorHAnsi"/>
          <w:sz w:val="23"/>
          <w:szCs w:val="23"/>
        </w:rPr>
        <w:t>L</w:t>
      </w:r>
      <w:r w:rsidR="001C29E8" w:rsidRPr="00AF181E">
        <w:rPr>
          <w:rFonts w:asciiTheme="minorHAnsi" w:hAnsiTheme="minorHAnsi"/>
          <w:sz w:val="23"/>
          <w:szCs w:val="23"/>
        </w:rPr>
        <w:t xml:space="preserve">icences requires that the </w:t>
      </w:r>
      <w:r w:rsidR="00022069" w:rsidRPr="00AF181E">
        <w:rPr>
          <w:rFonts w:asciiTheme="minorHAnsi" w:hAnsiTheme="minorHAnsi" w:cs="Garamond"/>
          <w:sz w:val="23"/>
          <w:szCs w:val="23"/>
          <w:lang w:val="en-US"/>
        </w:rPr>
        <w:t>components of the Commercial Offer Data</w:t>
      </w:r>
      <w:r w:rsidR="001C29E8" w:rsidRPr="00AF181E">
        <w:rPr>
          <w:rFonts w:asciiTheme="minorHAnsi" w:hAnsiTheme="minorHAnsi"/>
          <w:sz w:val="23"/>
          <w:szCs w:val="23"/>
        </w:rPr>
        <w:t xml:space="preserve"> provided to NIEE </w:t>
      </w:r>
      <w:r w:rsidR="002E30AD">
        <w:rPr>
          <w:rFonts w:asciiTheme="minorHAnsi" w:hAnsiTheme="minorHAnsi"/>
          <w:sz w:val="23"/>
          <w:szCs w:val="23"/>
        </w:rPr>
        <w:t xml:space="preserve">PPB </w:t>
      </w:r>
      <w:r w:rsidR="001C29E8" w:rsidRPr="00AF181E">
        <w:rPr>
          <w:rFonts w:asciiTheme="minorHAnsi" w:hAnsiTheme="minorHAnsi"/>
          <w:sz w:val="23"/>
          <w:szCs w:val="23"/>
        </w:rPr>
        <w:t>under the terms of the I</w:t>
      </w:r>
      <w:r w:rsidR="001B5BD9">
        <w:rPr>
          <w:rFonts w:asciiTheme="minorHAnsi" w:hAnsiTheme="minorHAnsi"/>
          <w:sz w:val="23"/>
          <w:szCs w:val="23"/>
        </w:rPr>
        <w:t>As</w:t>
      </w:r>
      <w:r w:rsidR="001C29E8" w:rsidRPr="00AF181E">
        <w:rPr>
          <w:rFonts w:asciiTheme="minorHAnsi" w:hAnsiTheme="minorHAnsi"/>
          <w:sz w:val="23"/>
          <w:szCs w:val="23"/>
        </w:rPr>
        <w:t xml:space="preserve"> should enable NIEE </w:t>
      </w:r>
      <w:r w:rsidR="00A926A2">
        <w:rPr>
          <w:rFonts w:asciiTheme="minorHAnsi" w:hAnsiTheme="minorHAnsi"/>
          <w:sz w:val="23"/>
          <w:szCs w:val="23"/>
        </w:rPr>
        <w:t xml:space="preserve">PPB </w:t>
      </w:r>
      <w:r w:rsidR="001C29E8" w:rsidRPr="00AF181E">
        <w:rPr>
          <w:rFonts w:asciiTheme="minorHAnsi" w:hAnsiTheme="minorHAnsi"/>
          <w:sz w:val="23"/>
          <w:szCs w:val="23"/>
        </w:rPr>
        <w:t>to comply with its obligations under Condition 57 (Cost-Reflective Bidding in the Single Electricity Market) of the NIEE Supply L</w:t>
      </w:r>
      <w:r w:rsidR="00022069" w:rsidRPr="00AF181E">
        <w:rPr>
          <w:rFonts w:asciiTheme="minorHAnsi" w:hAnsiTheme="minorHAnsi"/>
          <w:sz w:val="23"/>
          <w:szCs w:val="23"/>
        </w:rPr>
        <w:t>icence</w:t>
      </w:r>
      <w:r w:rsidR="001C29E8" w:rsidRPr="00AF181E">
        <w:rPr>
          <w:rFonts w:asciiTheme="minorHAnsi" w:hAnsiTheme="minorHAnsi" w:cs="Garamond"/>
          <w:sz w:val="23"/>
          <w:szCs w:val="23"/>
          <w:lang w:val="en-US"/>
        </w:rPr>
        <w:t xml:space="preserve">. </w:t>
      </w:r>
    </w:p>
    <w:p w:rsidR="00022069" w:rsidRPr="00AF181E" w:rsidRDefault="00022069" w:rsidP="00B70C37">
      <w:pPr>
        <w:autoSpaceDE w:val="0"/>
        <w:autoSpaceDN w:val="0"/>
        <w:adjustRightInd w:val="0"/>
        <w:spacing w:after="0" w:line="240" w:lineRule="auto"/>
        <w:jc w:val="both"/>
        <w:rPr>
          <w:rFonts w:cs="Garamond"/>
          <w:color w:val="000000"/>
          <w:sz w:val="23"/>
          <w:szCs w:val="23"/>
          <w:lang w:val="en-US"/>
        </w:rPr>
      </w:pPr>
    </w:p>
    <w:p w:rsidR="00022069" w:rsidRPr="00AF181E" w:rsidRDefault="00022069" w:rsidP="00B70C37">
      <w:pPr>
        <w:pStyle w:val="Default"/>
        <w:jc w:val="both"/>
        <w:rPr>
          <w:rFonts w:asciiTheme="minorHAnsi" w:hAnsiTheme="minorHAnsi" w:cs="Garamond"/>
          <w:sz w:val="23"/>
          <w:szCs w:val="23"/>
          <w:lang w:val="en-US"/>
        </w:rPr>
      </w:pPr>
      <w:r w:rsidRPr="00AF181E">
        <w:rPr>
          <w:rFonts w:asciiTheme="minorHAnsi" w:hAnsiTheme="minorHAnsi" w:cs="Garamond"/>
          <w:sz w:val="23"/>
          <w:szCs w:val="23"/>
          <w:lang w:val="en-US"/>
        </w:rPr>
        <w:t>Further</w:t>
      </w:r>
      <w:r w:rsidR="008D5DBE">
        <w:rPr>
          <w:rFonts w:asciiTheme="minorHAnsi" w:hAnsiTheme="minorHAnsi" w:cs="Garamond"/>
          <w:sz w:val="23"/>
          <w:szCs w:val="23"/>
          <w:lang w:val="en-US"/>
        </w:rPr>
        <w:t>more</w:t>
      </w:r>
      <w:r w:rsidRPr="00AF181E">
        <w:rPr>
          <w:rFonts w:asciiTheme="minorHAnsi" w:hAnsiTheme="minorHAnsi" w:cs="Garamond"/>
          <w:sz w:val="23"/>
          <w:szCs w:val="23"/>
          <w:lang w:val="en-US"/>
        </w:rPr>
        <w:t xml:space="preserve"> under the</w:t>
      </w:r>
      <w:r w:rsidRPr="00AF181E">
        <w:rPr>
          <w:rFonts w:asciiTheme="minorHAnsi" w:hAnsiTheme="minorHAnsi"/>
          <w:sz w:val="23"/>
          <w:szCs w:val="23"/>
        </w:rPr>
        <w:t xml:space="preserve"> </w:t>
      </w:r>
      <w:r w:rsidR="008D5DBE">
        <w:rPr>
          <w:rFonts w:asciiTheme="minorHAnsi" w:hAnsiTheme="minorHAnsi"/>
          <w:sz w:val="23"/>
          <w:szCs w:val="23"/>
        </w:rPr>
        <w:t>AES KPL</w:t>
      </w:r>
      <w:r w:rsidR="00AF181E" w:rsidRPr="00AF181E">
        <w:rPr>
          <w:rFonts w:asciiTheme="minorHAnsi" w:hAnsiTheme="minorHAnsi"/>
          <w:sz w:val="23"/>
          <w:szCs w:val="23"/>
        </w:rPr>
        <w:t xml:space="preserve"> and</w:t>
      </w:r>
      <w:r w:rsidRPr="00AF181E">
        <w:rPr>
          <w:rFonts w:asciiTheme="minorHAnsi" w:hAnsiTheme="minorHAnsi"/>
          <w:sz w:val="23"/>
          <w:szCs w:val="23"/>
        </w:rPr>
        <w:t xml:space="preserve"> </w:t>
      </w:r>
      <w:r w:rsidR="008D5DBE">
        <w:rPr>
          <w:rFonts w:asciiTheme="minorHAnsi" w:hAnsiTheme="minorHAnsi"/>
          <w:sz w:val="23"/>
          <w:szCs w:val="23"/>
        </w:rPr>
        <w:t>AES BL</w:t>
      </w:r>
      <w:r w:rsidRPr="00AF181E">
        <w:rPr>
          <w:rFonts w:asciiTheme="minorHAnsi" w:hAnsiTheme="minorHAnsi"/>
          <w:sz w:val="23"/>
          <w:szCs w:val="23"/>
        </w:rPr>
        <w:t xml:space="preserve"> </w:t>
      </w:r>
      <w:r w:rsidRPr="00AF181E">
        <w:rPr>
          <w:rFonts w:asciiTheme="minorHAnsi" w:hAnsiTheme="minorHAnsi"/>
          <w:color w:val="auto"/>
          <w:sz w:val="23"/>
          <w:szCs w:val="23"/>
        </w:rPr>
        <w:t>I</w:t>
      </w:r>
      <w:r w:rsidR="008D5DBE">
        <w:rPr>
          <w:rFonts w:asciiTheme="minorHAnsi" w:hAnsiTheme="minorHAnsi"/>
          <w:color w:val="auto"/>
          <w:sz w:val="23"/>
          <w:szCs w:val="23"/>
        </w:rPr>
        <w:t>As</w:t>
      </w:r>
      <w:r w:rsidRPr="00AF181E">
        <w:rPr>
          <w:rFonts w:asciiTheme="minorHAnsi" w:hAnsiTheme="minorHAnsi" w:cs="Garamond"/>
          <w:sz w:val="23"/>
          <w:szCs w:val="23"/>
          <w:lang w:val="en-US"/>
        </w:rPr>
        <w:t xml:space="preserve"> NIEE </w:t>
      </w:r>
      <w:r w:rsidR="00A926A2">
        <w:rPr>
          <w:rFonts w:asciiTheme="minorHAnsi" w:hAnsiTheme="minorHAnsi" w:cs="Garamond"/>
          <w:sz w:val="23"/>
          <w:szCs w:val="23"/>
          <w:lang w:val="en-US"/>
        </w:rPr>
        <w:t xml:space="preserve">PPB </w:t>
      </w:r>
      <w:r w:rsidRPr="00AF181E">
        <w:rPr>
          <w:rFonts w:asciiTheme="minorHAnsi" w:hAnsiTheme="minorHAnsi" w:cs="Garamond"/>
          <w:sz w:val="23"/>
          <w:szCs w:val="23"/>
          <w:lang w:val="en-US"/>
        </w:rPr>
        <w:t>has the ability to seek confirmation of the accuracy of the data provided by</w:t>
      </w:r>
      <w:r w:rsidR="008D5DBE">
        <w:rPr>
          <w:rFonts w:asciiTheme="minorHAnsi" w:hAnsiTheme="minorHAnsi" w:cs="Garamond"/>
          <w:sz w:val="23"/>
          <w:szCs w:val="23"/>
          <w:lang w:val="en-US"/>
        </w:rPr>
        <w:t xml:space="preserve"> AES KPL</w:t>
      </w:r>
      <w:r w:rsidRPr="00AF181E">
        <w:rPr>
          <w:rFonts w:asciiTheme="minorHAnsi" w:hAnsiTheme="minorHAnsi"/>
          <w:sz w:val="23"/>
          <w:szCs w:val="23"/>
        </w:rPr>
        <w:t xml:space="preserve"> and </w:t>
      </w:r>
      <w:r w:rsidR="008D5DBE">
        <w:rPr>
          <w:rFonts w:asciiTheme="minorHAnsi" w:hAnsiTheme="minorHAnsi"/>
          <w:sz w:val="23"/>
          <w:szCs w:val="23"/>
        </w:rPr>
        <w:t>AES BL</w:t>
      </w:r>
      <w:r w:rsidRPr="00AF181E">
        <w:rPr>
          <w:rFonts w:asciiTheme="minorHAnsi" w:hAnsiTheme="minorHAnsi"/>
          <w:sz w:val="23"/>
          <w:szCs w:val="23"/>
        </w:rPr>
        <w:t xml:space="preserve"> if it</w:t>
      </w:r>
      <w:r w:rsidRPr="00AF181E">
        <w:rPr>
          <w:rFonts w:asciiTheme="minorHAnsi" w:hAnsiTheme="minorHAnsi" w:cs="Garamond"/>
          <w:sz w:val="23"/>
          <w:szCs w:val="23"/>
          <w:lang w:val="en-US"/>
        </w:rPr>
        <w:t xml:space="preserve"> believes that it contains a manifest error.  NIEE </w:t>
      </w:r>
      <w:r w:rsidR="00A926A2">
        <w:rPr>
          <w:rFonts w:asciiTheme="minorHAnsi" w:hAnsiTheme="minorHAnsi" w:cs="Garamond"/>
          <w:sz w:val="23"/>
          <w:szCs w:val="23"/>
          <w:lang w:val="en-US"/>
        </w:rPr>
        <w:t xml:space="preserve">PPB </w:t>
      </w:r>
      <w:r w:rsidR="00B70C37" w:rsidRPr="00AF181E">
        <w:rPr>
          <w:rFonts w:asciiTheme="minorHAnsi" w:hAnsiTheme="minorHAnsi" w:cs="Garamond"/>
          <w:sz w:val="23"/>
          <w:szCs w:val="23"/>
          <w:lang w:val="en-US"/>
        </w:rPr>
        <w:t>ultimately</w:t>
      </w:r>
      <w:r w:rsidRPr="00AF181E">
        <w:rPr>
          <w:rFonts w:asciiTheme="minorHAnsi" w:hAnsiTheme="minorHAnsi" w:cs="Garamond"/>
          <w:sz w:val="23"/>
          <w:szCs w:val="23"/>
          <w:lang w:val="en-US"/>
        </w:rPr>
        <w:t xml:space="preserve"> has the right to refer the matter to </w:t>
      </w:r>
      <w:r w:rsidR="008D5DBE">
        <w:rPr>
          <w:rFonts w:asciiTheme="minorHAnsi" w:hAnsiTheme="minorHAnsi" w:cs="Garamond"/>
          <w:sz w:val="23"/>
          <w:szCs w:val="23"/>
          <w:lang w:val="en-US"/>
        </w:rPr>
        <w:t>the Authority</w:t>
      </w:r>
      <w:r w:rsidRPr="00AF181E">
        <w:rPr>
          <w:rFonts w:asciiTheme="minorHAnsi" w:hAnsiTheme="minorHAnsi" w:cs="Garamond"/>
          <w:sz w:val="23"/>
          <w:szCs w:val="23"/>
          <w:lang w:val="en-US"/>
        </w:rPr>
        <w:t xml:space="preserve"> and request the Authority </w:t>
      </w:r>
      <w:r w:rsidR="00EF4F94">
        <w:rPr>
          <w:rFonts w:asciiTheme="minorHAnsi" w:hAnsiTheme="minorHAnsi" w:cs="Garamond"/>
          <w:sz w:val="23"/>
          <w:szCs w:val="23"/>
          <w:lang w:val="en-US"/>
        </w:rPr>
        <w:t xml:space="preserve">to </w:t>
      </w:r>
      <w:r w:rsidRPr="00AF181E">
        <w:rPr>
          <w:rFonts w:asciiTheme="minorHAnsi" w:hAnsiTheme="minorHAnsi" w:cs="Garamond"/>
          <w:sz w:val="23"/>
          <w:szCs w:val="23"/>
          <w:lang w:val="en-US"/>
        </w:rPr>
        <w:t xml:space="preserve">investigate whether </w:t>
      </w:r>
      <w:r w:rsidR="008D5DBE">
        <w:rPr>
          <w:rFonts w:asciiTheme="minorHAnsi" w:hAnsiTheme="minorHAnsi" w:cs="Garamond"/>
          <w:sz w:val="23"/>
          <w:szCs w:val="23"/>
          <w:lang w:val="en-US"/>
        </w:rPr>
        <w:t>AES KPL</w:t>
      </w:r>
      <w:r w:rsidR="00EF4F94">
        <w:rPr>
          <w:rFonts w:asciiTheme="minorHAnsi" w:hAnsiTheme="minorHAnsi" w:cs="Garamond"/>
          <w:sz w:val="23"/>
          <w:szCs w:val="23"/>
          <w:lang w:val="en-US"/>
        </w:rPr>
        <w:t xml:space="preserve"> </w:t>
      </w:r>
      <w:r w:rsidR="00AF181E" w:rsidRPr="00AF181E">
        <w:rPr>
          <w:rFonts w:asciiTheme="minorHAnsi" w:hAnsiTheme="minorHAnsi"/>
          <w:sz w:val="23"/>
          <w:szCs w:val="23"/>
        </w:rPr>
        <w:t>or</w:t>
      </w:r>
      <w:r w:rsidR="00B70C37" w:rsidRPr="00AF181E">
        <w:rPr>
          <w:rFonts w:asciiTheme="minorHAnsi" w:hAnsiTheme="minorHAnsi"/>
          <w:sz w:val="23"/>
          <w:szCs w:val="23"/>
        </w:rPr>
        <w:t xml:space="preserve"> </w:t>
      </w:r>
      <w:r w:rsidR="008D5DBE">
        <w:rPr>
          <w:rFonts w:asciiTheme="minorHAnsi" w:hAnsiTheme="minorHAnsi"/>
          <w:sz w:val="23"/>
          <w:szCs w:val="23"/>
        </w:rPr>
        <w:t>AES BL</w:t>
      </w:r>
      <w:r w:rsidR="00B70C37" w:rsidRPr="00AF181E">
        <w:rPr>
          <w:rFonts w:asciiTheme="minorHAnsi" w:hAnsiTheme="minorHAnsi" w:cs="Garamond"/>
          <w:sz w:val="23"/>
          <w:szCs w:val="23"/>
          <w:lang w:val="en-US"/>
        </w:rPr>
        <w:t xml:space="preserve"> </w:t>
      </w:r>
      <w:r w:rsidRPr="00AF181E">
        <w:rPr>
          <w:rFonts w:asciiTheme="minorHAnsi" w:hAnsiTheme="minorHAnsi" w:cs="Garamond"/>
          <w:sz w:val="23"/>
          <w:szCs w:val="23"/>
          <w:lang w:val="en-US"/>
        </w:rPr>
        <w:t>is in breach of its</w:t>
      </w:r>
      <w:r w:rsidR="00AF181E" w:rsidRPr="00AF181E">
        <w:rPr>
          <w:rFonts w:asciiTheme="minorHAnsi" w:hAnsiTheme="minorHAnsi" w:cs="Garamond"/>
          <w:sz w:val="23"/>
          <w:szCs w:val="23"/>
          <w:lang w:val="en-US"/>
        </w:rPr>
        <w:t xml:space="preserve"> </w:t>
      </w:r>
      <w:r w:rsidRPr="00AF181E">
        <w:rPr>
          <w:rFonts w:asciiTheme="minorHAnsi" w:hAnsiTheme="minorHAnsi" w:cs="Garamond"/>
          <w:sz w:val="23"/>
          <w:szCs w:val="23"/>
          <w:lang w:val="en-US"/>
        </w:rPr>
        <w:t xml:space="preserve">Generation Licence. </w:t>
      </w:r>
    </w:p>
    <w:p w:rsidR="00022069" w:rsidRPr="00AF181E" w:rsidRDefault="00022069" w:rsidP="00B70C37">
      <w:pPr>
        <w:autoSpaceDE w:val="0"/>
        <w:autoSpaceDN w:val="0"/>
        <w:adjustRightInd w:val="0"/>
        <w:spacing w:after="0" w:line="240" w:lineRule="auto"/>
        <w:jc w:val="both"/>
        <w:rPr>
          <w:rFonts w:cs="Garamond"/>
          <w:color w:val="000000"/>
          <w:sz w:val="23"/>
          <w:szCs w:val="23"/>
          <w:lang w:val="en-US"/>
        </w:rPr>
      </w:pPr>
    </w:p>
    <w:p w:rsidR="001C29E8" w:rsidRPr="00AF181E" w:rsidRDefault="008D5DBE" w:rsidP="004445F8">
      <w:pPr>
        <w:jc w:val="both"/>
        <w:rPr>
          <w:sz w:val="23"/>
          <w:szCs w:val="23"/>
        </w:rPr>
      </w:pPr>
      <w:r>
        <w:rPr>
          <w:sz w:val="23"/>
          <w:szCs w:val="23"/>
        </w:rPr>
        <w:t>AES KPL</w:t>
      </w:r>
      <w:r w:rsidR="008223DE" w:rsidRPr="00AF181E">
        <w:rPr>
          <w:sz w:val="23"/>
          <w:szCs w:val="23"/>
        </w:rPr>
        <w:t xml:space="preserve"> and </w:t>
      </w:r>
      <w:r>
        <w:rPr>
          <w:sz w:val="23"/>
          <w:szCs w:val="23"/>
        </w:rPr>
        <w:t>AES BL</w:t>
      </w:r>
      <w:r w:rsidR="008223DE" w:rsidRPr="00AF181E">
        <w:rPr>
          <w:sz w:val="23"/>
          <w:szCs w:val="23"/>
        </w:rPr>
        <w:t xml:space="preserve"> do not bear the risks or rewards of operation in the SEM but </w:t>
      </w:r>
      <w:r w:rsidR="00022069" w:rsidRPr="00AF181E">
        <w:rPr>
          <w:sz w:val="23"/>
          <w:szCs w:val="23"/>
        </w:rPr>
        <w:t xml:space="preserve">are </w:t>
      </w:r>
      <w:r w:rsidR="008223DE" w:rsidRPr="00AF181E">
        <w:rPr>
          <w:sz w:val="23"/>
          <w:szCs w:val="23"/>
        </w:rPr>
        <w:t>instead remunerated in accordance with</w:t>
      </w:r>
      <w:r w:rsidR="001C29E8" w:rsidRPr="00AF181E">
        <w:rPr>
          <w:sz w:val="23"/>
          <w:szCs w:val="23"/>
        </w:rPr>
        <w:t xml:space="preserve"> the</w:t>
      </w:r>
      <w:r w:rsidR="008223DE" w:rsidRPr="00AF181E">
        <w:rPr>
          <w:sz w:val="23"/>
          <w:szCs w:val="23"/>
        </w:rPr>
        <w:t xml:space="preserve"> </w:t>
      </w:r>
      <w:r w:rsidR="001C29E8" w:rsidRPr="00AF181E">
        <w:rPr>
          <w:sz w:val="23"/>
          <w:szCs w:val="23"/>
        </w:rPr>
        <w:t>contractual formulae set out in the individual generating unit agreements for the generating units under contract</w:t>
      </w:r>
      <w:r w:rsidR="00AC4E2D" w:rsidRPr="00AF181E">
        <w:rPr>
          <w:sz w:val="23"/>
          <w:szCs w:val="23"/>
        </w:rPr>
        <w:t>. </w:t>
      </w:r>
    </w:p>
    <w:p w:rsidR="00BD636A" w:rsidRDefault="00FF49C0" w:rsidP="00423D32">
      <w:pPr>
        <w:autoSpaceDE w:val="0"/>
        <w:autoSpaceDN w:val="0"/>
        <w:adjustRightInd w:val="0"/>
        <w:spacing w:after="0" w:line="240" w:lineRule="auto"/>
        <w:jc w:val="both"/>
        <w:rPr>
          <w:rFonts w:cs="Calibri"/>
          <w:sz w:val="23"/>
          <w:szCs w:val="23"/>
          <w:lang w:val="en-US"/>
        </w:rPr>
      </w:pPr>
      <w:r w:rsidRPr="00AF181E">
        <w:rPr>
          <w:sz w:val="23"/>
          <w:szCs w:val="23"/>
        </w:rPr>
        <w:t>AES therefore believes that it is</w:t>
      </w:r>
      <w:r w:rsidR="004E61E7" w:rsidRPr="00AF181E">
        <w:rPr>
          <w:sz w:val="23"/>
          <w:szCs w:val="23"/>
        </w:rPr>
        <w:t xml:space="preserve"> </w:t>
      </w:r>
      <w:r w:rsidRPr="00AF181E">
        <w:rPr>
          <w:sz w:val="23"/>
          <w:szCs w:val="23"/>
        </w:rPr>
        <w:t xml:space="preserve">inappropriate to consider market power </w:t>
      </w:r>
      <w:r w:rsidR="005416EF" w:rsidRPr="00AF181E">
        <w:rPr>
          <w:sz w:val="23"/>
          <w:szCs w:val="23"/>
        </w:rPr>
        <w:t xml:space="preserve">by viewing </w:t>
      </w:r>
      <w:r w:rsidR="005416EF" w:rsidRPr="00AF181E">
        <w:rPr>
          <w:rFonts w:cs="Calibri"/>
          <w:sz w:val="23"/>
          <w:szCs w:val="23"/>
          <w:lang w:val="en-US"/>
        </w:rPr>
        <w:t>all of the Kilroot and Ballylumford units as a combined single entity of 1,831MW (Scenario 1).</w:t>
      </w:r>
      <w:r w:rsidR="004E61E7" w:rsidRPr="00AF181E">
        <w:rPr>
          <w:rFonts w:cs="Calibri"/>
          <w:sz w:val="23"/>
          <w:szCs w:val="23"/>
          <w:lang w:val="en-US"/>
        </w:rPr>
        <w:t xml:space="preserve"> </w:t>
      </w:r>
    </w:p>
    <w:p w:rsidR="00BD636A" w:rsidRDefault="00BD636A" w:rsidP="00423D32">
      <w:pPr>
        <w:autoSpaceDE w:val="0"/>
        <w:autoSpaceDN w:val="0"/>
        <w:adjustRightInd w:val="0"/>
        <w:spacing w:after="0" w:line="240" w:lineRule="auto"/>
        <w:jc w:val="both"/>
        <w:rPr>
          <w:rFonts w:cs="Calibri"/>
          <w:sz w:val="23"/>
          <w:szCs w:val="23"/>
          <w:lang w:val="en-US"/>
        </w:rPr>
      </w:pPr>
    </w:p>
    <w:p w:rsidR="002A5FA6" w:rsidRPr="00AF181E" w:rsidRDefault="00BD636A" w:rsidP="00423D32">
      <w:pPr>
        <w:autoSpaceDE w:val="0"/>
        <w:autoSpaceDN w:val="0"/>
        <w:adjustRightInd w:val="0"/>
        <w:spacing w:after="0" w:line="240" w:lineRule="auto"/>
        <w:jc w:val="both"/>
        <w:rPr>
          <w:rFonts w:cs="Calibri"/>
          <w:sz w:val="23"/>
          <w:szCs w:val="23"/>
          <w:lang w:val="en-US"/>
        </w:rPr>
      </w:pPr>
      <w:r>
        <w:rPr>
          <w:rFonts w:cs="Calibri"/>
          <w:sz w:val="23"/>
          <w:szCs w:val="23"/>
          <w:lang w:val="en-US"/>
        </w:rPr>
        <w:t>If however t</w:t>
      </w:r>
      <w:r w:rsidR="004E61E7" w:rsidRPr="00AF181E">
        <w:rPr>
          <w:rFonts w:cs="Calibri"/>
          <w:sz w:val="23"/>
          <w:szCs w:val="23"/>
          <w:lang w:val="en-US"/>
        </w:rPr>
        <w:t xml:space="preserve">he </w:t>
      </w:r>
      <w:r w:rsidR="00414DB9" w:rsidRPr="00AF181E">
        <w:rPr>
          <w:sz w:val="23"/>
          <w:szCs w:val="23"/>
        </w:rPr>
        <w:t>market</w:t>
      </w:r>
      <w:r w:rsidR="004E61E7" w:rsidRPr="00AF181E">
        <w:rPr>
          <w:sz w:val="23"/>
          <w:szCs w:val="23"/>
        </w:rPr>
        <w:t xml:space="preserve"> power of AES </w:t>
      </w:r>
      <w:r>
        <w:rPr>
          <w:sz w:val="23"/>
          <w:szCs w:val="23"/>
        </w:rPr>
        <w:t xml:space="preserve">is </w:t>
      </w:r>
      <w:r w:rsidR="004E61E7" w:rsidRPr="00AF181E">
        <w:rPr>
          <w:sz w:val="23"/>
          <w:szCs w:val="23"/>
        </w:rPr>
        <w:t xml:space="preserve">considered </w:t>
      </w:r>
      <w:r>
        <w:rPr>
          <w:sz w:val="23"/>
          <w:szCs w:val="23"/>
        </w:rPr>
        <w:t>as a single entity (Scenario 1)</w:t>
      </w:r>
      <w:r w:rsidR="00423D32" w:rsidRPr="00AF181E">
        <w:rPr>
          <w:rFonts w:cs="Calibri"/>
          <w:sz w:val="23"/>
          <w:szCs w:val="23"/>
          <w:lang w:val="en-US"/>
        </w:rPr>
        <w:t xml:space="preserve"> the combined shareholding </w:t>
      </w:r>
      <w:r w:rsidR="00414DB9">
        <w:rPr>
          <w:rFonts w:cs="Calibri"/>
          <w:sz w:val="23"/>
          <w:szCs w:val="23"/>
          <w:lang w:val="en-US"/>
        </w:rPr>
        <w:t>of</w:t>
      </w:r>
      <w:r w:rsidR="00423D32" w:rsidRPr="00AF181E">
        <w:rPr>
          <w:rFonts w:cs="Calibri"/>
          <w:sz w:val="23"/>
          <w:szCs w:val="23"/>
          <w:lang w:val="en-US"/>
        </w:rPr>
        <w:t xml:space="preserve"> 17% is well below the thresholds identified for </w:t>
      </w:r>
      <w:r w:rsidR="00DC4ED9">
        <w:rPr>
          <w:rFonts w:cs="Calibri"/>
          <w:sz w:val="23"/>
          <w:szCs w:val="23"/>
          <w:lang w:val="en-US"/>
        </w:rPr>
        <w:t xml:space="preserve">similar </w:t>
      </w:r>
      <w:r w:rsidR="00423D32" w:rsidRPr="00AF181E">
        <w:rPr>
          <w:rFonts w:cs="Calibri"/>
          <w:sz w:val="23"/>
          <w:szCs w:val="23"/>
          <w:lang w:val="en-US"/>
        </w:rPr>
        <w:t>market screening purposes in the US F</w:t>
      </w:r>
      <w:r w:rsidR="004401D5">
        <w:rPr>
          <w:rFonts w:cs="Calibri"/>
          <w:sz w:val="23"/>
          <w:szCs w:val="23"/>
          <w:lang w:val="en-US"/>
        </w:rPr>
        <w:t xml:space="preserve">ederal </w:t>
      </w:r>
      <w:r w:rsidR="00423D32" w:rsidRPr="00AF181E">
        <w:rPr>
          <w:rFonts w:cs="Calibri"/>
          <w:sz w:val="23"/>
          <w:szCs w:val="23"/>
          <w:lang w:val="en-US"/>
        </w:rPr>
        <w:t>E</w:t>
      </w:r>
      <w:r w:rsidR="004401D5">
        <w:rPr>
          <w:rFonts w:cs="Calibri"/>
          <w:sz w:val="23"/>
          <w:szCs w:val="23"/>
          <w:lang w:val="en-US"/>
        </w:rPr>
        <w:t xml:space="preserve">nergy </w:t>
      </w:r>
      <w:r w:rsidR="00423D32" w:rsidRPr="00AF181E">
        <w:rPr>
          <w:rFonts w:cs="Calibri"/>
          <w:sz w:val="23"/>
          <w:szCs w:val="23"/>
          <w:lang w:val="en-US"/>
        </w:rPr>
        <w:t>R</w:t>
      </w:r>
      <w:r w:rsidR="004401D5">
        <w:rPr>
          <w:rFonts w:cs="Calibri"/>
          <w:sz w:val="23"/>
          <w:szCs w:val="23"/>
          <w:lang w:val="en-US"/>
        </w:rPr>
        <w:t xml:space="preserve">egulatory </w:t>
      </w:r>
      <w:r w:rsidR="00423D32" w:rsidRPr="00AF181E">
        <w:rPr>
          <w:rFonts w:cs="Calibri"/>
          <w:sz w:val="23"/>
          <w:szCs w:val="23"/>
          <w:lang w:val="en-US"/>
        </w:rPr>
        <w:t>C</w:t>
      </w:r>
      <w:r w:rsidR="004401D5">
        <w:rPr>
          <w:rFonts w:cs="Calibri"/>
          <w:sz w:val="23"/>
          <w:szCs w:val="23"/>
          <w:lang w:val="en-US"/>
        </w:rPr>
        <w:t>ommission</w:t>
      </w:r>
      <w:r w:rsidR="00423D32" w:rsidRPr="00AF181E">
        <w:rPr>
          <w:rFonts w:cs="Calibri"/>
          <w:sz w:val="23"/>
          <w:szCs w:val="23"/>
          <w:lang w:val="en-US"/>
        </w:rPr>
        <w:t xml:space="preserve"> (20%) and Holland (30%) </w:t>
      </w:r>
      <w:r w:rsidR="00414DB9">
        <w:rPr>
          <w:rFonts w:cs="Calibri"/>
          <w:sz w:val="23"/>
          <w:szCs w:val="23"/>
          <w:lang w:val="en-US"/>
        </w:rPr>
        <w:t>as set out</w:t>
      </w:r>
      <w:r w:rsidR="00414DB9" w:rsidRPr="00AF181E">
        <w:rPr>
          <w:rFonts w:cs="Calibri"/>
          <w:sz w:val="23"/>
          <w:szCs w:val="23"/>
          <w:lang w:val="en-US"/>
        </w:rPr>
        <w:t xml:space="preserve"> </w:t>
      </w:r>
      <w:r w:rsidR="00414DB9">
        <w:rPr>
          <w:rFonts w:cs="Calibri"/>
          <w:sz w:val="23"/>
          <w:szCs w:val="23"/>
          <w:lang w:val="en-US"/>
        </w:rPr>
        <w:t>in</w:t>
      </w:r>
      <w:r w:rsidR="00414DB9" w:rsidRPr="00AF181E">
        <w:rPr>
          <w:rFonts w:cs="Calibri"/>
          <w:sz w:val="23"/>
          <w:szCs w:val="23"/>
          <w:lang w:val="en-US"/>
        </w:rPr>
        <w:t xml:space="preserve"> the Consultation Paper</w:t>
      </w:r>
      <w:r w:rsidR="00414DB9">
        <w:rPr>
          <w:rFonts w:cs="Calibri"/>
          <w:sz w:val="23"/>
          <w:szCs w:val="23"/>
          <w:lang w:val="en-US"/>
        </w:rPr>
        <w:t>.</w:t>
      </w:r>
    </w:p>
    <w:p w:rsidR="00303F44" w:rsidRPr="00AF181E" w:rsidRDefault="00303F44" w:rsidP="00303F44">
      <w:pPr>
        <w:autoSpaceDE w:val="0"/>
        <w:autoSpaceDN w:val="0"/>
        <w:adjustRightInd w:val="0"/>
        <w:spacing w:after="0" w:line="240" w:lineRule="auto"/>
        <w:rPr>
          <w:sz w:val="23"/>
          <w:szCs w:val="23"/>
        </w:rPr>
      </w:pPr>
    </w:p>
    <w:p w:rsidR="00FF49C0" w:rsidRPr="00EE3E31" w:rsidRDefault="009F6016" w:rsidP="00FF49C0">
      <w:pPr>
        <w:autoSpaceDE w:val="0"/>
        <w:autoSpaceDN w:val="0"/>
        <w:adjustRightInd w:val="0"/>
        <w:spacing w:after="0" w:line="240" w:lineRule="auto"/>
        <w:jc w:val="both"/>
        <w:rPr>
          <w:b/>
          <w:sz w:val="24"/>
          <w:szCs w:val="24"/>
        </w:rPr>
      </w:pPr>
      <w:r w:rsidRPr="00EE3E31">
        <w:rPr>
          <w:b/>
          <w:sz w:val="24"/>
          <w:szCs w:val="24"/>
        </w:rPr>
        <w:t xml:space="preserve">3.1.2 </w:t>
      </w:r>
      <w:r w:rsidR="005416EF" w:rsidRPr="00EE3E31">
        <w:rPr>
          <w:b/>
          <w:sz w:val="24"/>
          <w:szCs w:val="24"/>
        </w:rPr>
        <w:t>Market Share Results</w:t>
      </w:r>
    </w:p>
    <w:p w:rsidR="005416EF" w:rsidRPr="00AF181E" w:rsidRDefault="005416EF" w:rsidP="00FF49C0">
      <w:pPr>
        <w:autoSpaceDE w:val="0"/>
        <w:autoSpaceDN w:val="0"/>
        <w:adjustRightInd w:val="0"/>
        <w:spacing w:after="0" w:line="240" w:lineRule="auto"/>
        <w:jc w:val="both"/>
        <w:rPr>
          <w:sz w:val="23"/>
          <w:szCs w:val="23"/>
        </w:rPr>
      </w:pPr>
    </w:p>
    <w:p w:rsidR="005416EF" w:rsidRPr="00EE3E31" w:rsidRDefault="004E61E7" w:rsidP="00FF49C0">
      <w:pPr>
        <w:autoSpaceDE w:val="0"/>
        <w:autoSpaceDN w:val="0"/>
        <w:adjustRightInd w:val="0"/>
        <w:spacing w:after="0" w:line="240" w:lineRule="auto"/>
        <w:jc w:val="both"/>
        <w:rPr>
          <w:b/>
          <w:i/>
          <w:sz w:val="24"/>
          <w:szCs w:val="24"/>
        </w:rPr>
      </w:pPr>
      <w:r w:rsidRPr="00EE3E31">
        <w:rPr>
          <w:b/>
          <w:i/>
          <w:sz w:val="24"/>
          <w:szCs w:val="24"/>
        </w:rPr>
        <w:t>By Capacity</w:t>
      </w:r>
    </w:p>
    <w:p w:rsidR="004E61E7" w:rsidRPr="00AF181E" w:rsidRDefault="004E61E7" w:rsidP="00FF49C0">
      <w:pPr>
        <w:autoSpaceDE w:val="0"/>
        <w:autoSpaceDN w:val="0"/>
        <w:adjustRightInd w:val="0"/>
        <w:spacing w:after="0" w:line="240" w:lineRule="auto"/>
        <w:jc w:val="both"/>
        <w:rPr>
          <w:sz w:val="23"/>
          <w:szCs w:val="23"/>
        </w:rPr>
      </w:pPr>
    </w:p>
    <w:p w:rsidR="005D25A0" w:rsidRPr="00AF181E" w:rsidRDefault="005D25A0" w:rsidP="00FF49C0">
      <w:pPr>
        <w:autoSpaceDE w:val="0"/>
        <w:autoSpaceDN w:val="0"/>
        <w:adjustRightInd w:val="0"/>
        <w:spacing w:after="0" w:line="240" w:lineRule="auto"/>
        <w:jc w:val="both"/>
        <w:rPr>
          <w:sz w:val="23"/>
          <w:szCs w:val="23"/>
        </w:rPr>
      </w:pPr>
      <w:r w:rsidRPr="00AF181E">
        <w:rPr>
          <w:sz w:val="23"/>
          <w:szCs w:val="23"/>
        </w:rPr>
        <w:t xml:space="preserve">The </w:t>
      </w:r>
      <w:r w:rsidR="002A5FA6" w:rsidRPr="00AF181E">
        <w:rPr>
          <w:sz w:val="23"/>
          <w:szCs w:val="23"/>
        </w:rPr>
        <w:t xml:space="preserve">Consultation </w:t>
      </w:r>
      <w:r w:rsidRPr="00AF181E">
        <w:rPr>
          <w:sz w:val="23"/>
          <w:szCs w:val="23"/>
        </w:rPr>
        <w:t xml:space="preserve">Paper sets out the current and forecast capacities of the various market participants. For clarity these have been reproduced below. As the table in the </w:t>
      </w:r>
      <w:r w:rsidR="002A5FA6" w:rsidRPr="00AF181E">
        <w:rPr>
          <w:sz w:val="23"/>
          <w:szCs w:val="23"/>
        </w:rPr>
        <w:t xml:space="preserve">Consultation </w:t>
      </w:r>
      <w:r w:rsidRPr="00AF181E">
        <w:rPr>
          <w:sz w:val="23"/>
          <w:szCs w:val="23"/>
        </w:rPr>
        <w:t>Paper combine</w:t>
      </w:r>
      <w:r w:rsidR="002A5FA6" w:rsidRPr="00AF181E">
        <w:rPr>
          <w:sz w:val="23"/>
          <w:szCs w:val="23"/>
        </w:rPr>
        <w:t>s the</w:t>
      </w:r>
      <w:r w:rsidRPr="00AF181E">
        <w:rPr>
          <w:sz w:val="23"/>
          <w:szCs w:val="23"/>
        </w:rPr>
        <w:t xml:space="preserve"> contracted and uncontracted plant for AE</w:t>
      </w:r>
      <w:r w:rsidR="002A5FA6" w:rsidRPr="00AF181E">
        <w:rPr>
          <w:sz w:val="23"/>
          <w:szCs w:val="23"/>
        </w:rPr>
        <w:t xml:space="preserve">S the table below separates </w:t>
      </w:r>
      <w:r w:rsidRPr="00AF181E">
        <w:rPr>
          <w:sz w:val="23"/>
          <w:szCs w:val="23"/>
        </w:rPr>
        <w:t>th</w:t>
      </w:r>
      <w:r w:rsidR="002A5FA6" w:rsidRPr="00AF181E">
        <w:rPr>
          <w:sz w:val="23"/>
          <w:szCs w:val="23"/>
        </w:rPr>
        <w:t xml:space="preserve">ese out </w:t>
      </w:r>
      <w:r w:rsidR="00563C19">
        <w:rPr>
          <w:sz w:val="23"/>
          <w:szCs w:val="23"/>
        </w:rPr>
        <w:t>since AES considers it</w:t>
      </w:r>
      <w:r w:rsidR="002A5FA6" w:rsidRPr="00AF181E">
        <w:rPr>
          <w:sz w:val="23"/>
          <w:szCs w:val="23"/>
        </w:rPr>
        <w:t xml:space="preserve"> inappropriate to consider market power on this basis (see Scenarios section above)</w:t>
      </w:r>
      <w:r w:rsidRPr="00AF181E">
        <w:rPr>
          <w:sz w:val="23"/>
          <w:szCs w:val="23"/>
        </w:rPr>
        <w:t xml:space="preserve">. The table below also includes the pre acquisition shareholdings. </w:t>
      </w:r>
      <w:r w:rsidR="00563C19">
        <w:rPr>
          <w:sz w:val="23"/>
          <w:szCs w:val="23"/>
        </w:rPr>
        <w:t xml:space="preserve">It should be noted that the analysis reflects the cancellation of two of the contacts at Kilroot even though cancellation took place after the acquisition of AES BL. </w:t>
      </w:r>
    </w:p>
    <w:p w:rsidR="0079783A" w:rsidRPr="00AF181E" w:rsidRDefault="0079783A" w:rsidP="00FF49C0">
      <w:pPr>
        <w:autoSpaceDE w:val="0"/>
        <w:autoSpaceDN w:val="0"/>
        <w:adjustRightInd w:val="0"/>
        <w:spacing w:after="0" w:line="240" w:lineRule="auto"/>
        <w:jc w:val="both"/>
        <w:rPr>
          <w:b/>
          <w:sz w:val="23"/>
          <w:szCs w:val="23"/>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1"/>
        <w:gridCol w:w="2552"/>
        <w:gridCol w:w="2551"/>
        <w:gridCol w:w="2410"/>
      </w:tblGrid>
      <w:tr w:rsidR="003A14E7" w:rsidRPr="00AF181E" w:rsidTr="00413AA1">
        <w:tc>
          <w:tcPr>
            <w:tcW w:w="1951" w:type="dxa"/>
          </w:tcPr>
          <w:p w:rsidR="003A14E7" w:rsidRPr="00AF181E" w:rsidRDefault="003A14E7" w:rsidP="00FF49C0">
            <w:pPr>
              <w:autoSpaceDE w:val="0"/>
              <w:autoSpaceDN w:val="0"/>
              <w:adjustRightInd w:val="0"/>
              <w:jc w:val="both"/>
              <w:rPr>
                <w:b/>
                <w:sz w:val="23"/>
                <w:szCs w:val="23"/>
              </w:rPr>
            </w:pPr>
            <w:r w:rsidRPr="00AF181E">
              <w:rPr>
                <w:b/>
                <w:sz w:val="23"/>
                <w:szCs w:val="23"/>
              </w:rPr>
              <w:t>Owner</w:t>
            </w:r>
          </w:p>
        </w:tc>
        <w:tc>
          <w:tcPr>
            <w:tcW w:w="2552" w:type="dxa"/>
          </w:tcPr>
          <w:p w:rsidR="003A14E7" w:rsidRPr="00AF181E" w:rsidRDefault="003A14E7" w:rsidP="005D25A0">
            <w:pPr>
              <w:autoSpaceDE w:val="0"/>
              <w:autoSpaceDN w:val="0"/>
              <w:adjustRightInd w:val="0"/>
              <w:jc w:val="center"/>
              <w:rPr>
                <w:b/>
                <w:sz w:val="23"/>
                <w:szCs w:val="23"/>
              </w:rPr>
            </w:pPr>
            <w:r w:rsidRPr="00AF181E">
              <w:rPr>
                <w:b/>
                <w:sz w:val="23"/>
                <w:szCs w:val="23"/>
              </w:rPr>
              <w:t>2010 Pre Acquisition</w:t>
            </w:r>
          </w:p>
        </w:tc>
        <w:tc>
          <w:tcPr>
            <w:tcW w:w="2551" w:type="dxa"/>
          </w:tcPr>
          <w:p w:rsidR="003A14E7" w:rsidRPr="00AF181E" w:rsidRDefault="003A14E7" w:rsidP="005D25A0">
            <w:pPr>
              <w:autoSpaceDE w:val="0"/>
              <w:autoSpaceDN w:val="0"/>
              <w:adjustRightInd w:val="0"/>
              <w:jc w:val="center"/>
              <w:rPr>
                <w:b/>
                <w:sz w:val="23"/>
                <w:szCs w:val="23"/>
              </w:rPr>
            </w:pPr>
            <w:r w:rsidRPr="00AF181E">
              <w:rPr>
                <w:b/>
                <w:sz w:val="23"/>
                <w:szCs w:val="23"/>
              </w:rPr>
              <w:t>2010 Post Acquisition</w:t>
            </w:r>
          </w:p>
        </w:tc>
        <w:tc>
          <w:tcPr>
            <w:tcW w:w="2410" w:type="dxa"/>
          </w:tcPr>
          <w:p w:rsidR="003A14E7" w:rsidRPr="00AF181E" w:rsidRDefault="003A14E7" w:rsidP="005D25A0">
            <w:pPr>
              <w:autoSpaceDE w:val="0"/>
              <w:autoSpaceDN w:val="0"/>
              <w:adjustRightInd w:val="0"/>
              <w:jc w:val="center"/>
              <w:rPr>
                <w:b/>
                <w:sz w:val="23"/>
                <w:szCs w:val="23"/>
              </w:rPr>
            </w:pPr>
            <w:r w:rsidRPr="00AF181E">
              <w:rPr>
                <w:b/>
                <w:sz w:val="23"/>
                <w:szCs w:val="23"/>
              </w:rPr>
              <w:t>2012 Post Acquisition</w:t>
            </w:r>
          </w:p>
        </w:tc>
      </w:tr>
      <w:tr w:rsidR="003A14E7" w:rsidRPr="00AF181E" w:rsidTr="00413AA1">
        <w:tc>
          <w:tcPr>
            <w:tcW w:w="1951" w:type="dxa"/>
          </w:tcPr>
          <w:p w:rsidR="003A14E7" w:rsidRPr="00AF181E" w:rsidRDefault="003A14E7" w:rsidP="00FF49C0">
            <w:pPr>
              <w:autoSpaceDE w:val="0"/>
              <w:autoSpaceDN w:val="0"/>
              <w:adjustRightInd w:val="0"/>
              <w:jc w:val="both"/>
              <w:rPr>
                <w:sz w:val="23"/>
                <w:szCs w:val="23"/>
              </w:rPr>
            </w:pPr>
            <w:r w:rsidRPr="00AF181E">
              <w:rPr>
                <w:sz w:val="23"/>
                <w:szCs w:val="23"/>
              </w:rPr>
              <w:t>ESB PG</w:t>
            </w:r>
          </w:p>
        </w:tc>
        <w:tc>
          <w:tcPr>
            <w:tcW w:w="2552" w:type="dxa"/>
          </w:tcPr>
          <w:p w:rsidR="003A14E7" w:rsidRPr="00AF181E" w:rsidRDefault="003A14E7" w:rsidP="005D25A0">
            <w:pPr>
              <w:autoSpaceDE w:val="0"/>
              <w:autoSpaceDN w:val="0"/>
              <w:adjustRightInd w:val="0"/>
              <w:jc w:val="center"/>
              <w:rPr>
                <w:sz w:val="23"/>
                <w:szCs w:val="23"/>
              </w:rPr>
            </w:pPr>
            <w:r w:rsidRPr="00AF181E">
              <w:rPr>
                <w:sz w:val="23"/>
                <w:szCs w:val="23"/>
              </w:rPr>
              <w:t>34%</w:t>
            </w:r>
          </w:p>
        </w:tc>
        <w:tc>
          <w:tcPr>
            <w:tcW w:w="2551" w:type="dxa"/>
          </w:tcPr>
          <w:p w:rsidR="003A14E7" w:rsidRPr="00AF181E" w:rsidRDefault="003A14E7" w:rsidP="005D25A0">
            <w:pPr>
              <w:autoSpaceDE w:val="0"/>
              <w:autoSpaceDN w:val="0"/>
              <w:adjustRightInd w:val="0"/>
              <w:jc w:val="center"/>
              <w:rPr>
                <w:sz w:val="23"/>
                <w:szCs w:val="23"/>
              </w:rPr>
            </w:pPr>
            <w:r w:rsidRPr="00AF181E">
              <w:rPr>
                <w:sz w:val="23"/>
                <w:szCs w:val="23"/>
              </w:rPr>
              <w:t>34%</w:t>
            </w:r>
          </w:p>
        </w:tc>
        <w:tc>
          <w:tcPr>
            <w:tcW w:w="2410" w:type="dxa"/>
          </w:tcPr>
          <w:p w:rsidR="003A14E7" w:rsidRPr="00AF181E" w:rsidRDefault="003A14E7" w:rsidP="005D25A0">
            <w:pPr>
              <w:autoSpaceDE w:val="0"/>
              <w:autoSpaceDN w:val="0"/>
              <w:adjustRightInd w:val="0"/>
              <w:jc w:val="center"/>
              <w:rPr>
                <w:sz w:val="23"/>
                <w:szCs w:val="23"/>
              </w:rPr>
            </w:pPr>
            <w:r w:rsidRPr="00AF181E">
              <w:rPr>
                <w:sz w:val="23"/>
                <w:szCs w:val="23"/>
              </w:rPr>
              <w:t>31%</w:t>
            </w:r>
          </w:p>
        </w:tc>
      </w:tr>
      <w:tr w:rsidR="003A14E7" w:rsidRPr="00AF181E" w:rsidTr="00413AA1">
        <w:tc>
          <w:tcPr>
            <w:tcW w:w="1951" w:type="dxa"/>
          </w:tcPr>
          <w:p w:rsidR="003A14E7" w:rsidRPr="00AF181E" w:rsidRDefault="003A14E7" w:rsidP="00FF49C0">
            <w:pPr>
              <w:autoSpaceDE w:val="0"/>
              <w:autoSpaceDN w:val="0"/>
              <w:adjustRightInd w:val="0"/>
              <w:jc w:val="both"/>
              <w:rPr>
                <w:sz w:val="23"/>
                <w:szCs w:val="23"/>
              </w:rPr>
            </w:pPr>
            <w:r w:rsidRPr="00AF181E">
              <w:rPr>
                <w:sz w:val="23"/>
                <w:szCs w:val="23"/>
              </w:rPr>
              <w:t>NIEE PPB</w:t>
            </w:r>
          </w:p>
        </w:tc>
        <w:tc>
          <w:tcPr>
            <w:tcW w:w="2552" w:type="dxa"/>
          </w:tcPr>
          <w:p w:rsidR="003A14E7" w:rsidRPr="00AF181E" w:rsidRDefault="003A14E7" w:rsidP="00563C19">
            <w:pPr>
              <w:autoSpaceDE w:val="0"/>
              <w:autoSpaceDN w:val="0"/>
              <w:adjustRightInd w:val="0"/>
              <w:jc w:val="center"/>
              <w:rPr>
                <w:sz w:val="23"/>
                <w:szCs w:val="23"/>
              </w:rPr>
            </w:pPr>
            <w:r w:rsidRPr="00AF181E">
              <w:rPr>
                <w:sz w:val="23"/>
                <w:szCs w:val="23"/>
              </w:rPr>
              <w:t>1</w:t>
            </w:r>
            <w:r w:rsidR="00563C19">
              <w:rPr>
                <w:sz w:val="23"/>
                <w:szCs w:val="23"/>
              </w:rPr>
              <w:t>0</w:t>
            </w:r>
            <w:r w:rsidRPr="00AF181E">
              <w:rPr>
                <w:sz w:val="23"/>
                <w:szCs w:val="23"/>
              </w:rPr>
              <w:t>%</w:t>
            </w:r>
          </w:p>
        </w:tc>
        <w:tc>
          <w:tcPr>
            <w:tcW w:w="2551" w:type="dxa"/>
          </w:tcPr>
          <w:p w:rsidR="003A14E7" w:rsidRPr="00AF181E" w:rsidRDefault="003A14E7" w:rsidP="00563C19">
            <w:pPr>
              <w:autoSpaceDE w:val="0"/>
              <w:autoSpaceDN w:val="0"/>
              <w:adjustRightInd w:val="0"/>
              <w:jc w:val="center"/>
              <w:rPr>
                <w:sz w:val="23"/>
                <w:szCs w:val="23"/>
              </w:rPr>
            </w:pPr>
            <w:r w:rsidRPr="00AF181E">
              <w:rPr>
                <w:sz w:val="23"/>
                <w:szCs w:val="23"/>
              </w:rPr>
              <w:t>1</w:t>
            </w:r>
            <w:r w:rsidR="00563C19">
              <w:rPr>
                <w:sz w:val="23"/>
                <w:szCs w:val="23"/>
              </w:rPr>
              <w:t>0</w:t>
            </w:r>
            <w:r w:rsidRPr="00AF181E">
              <w:rPr>
                <w:sz w:val="23"/>
                <w:szCs w:val="23"/>
              </w:rPr>
              <w:t>%</w:t>
            </w:r>
          </w:p>
        </w:tc>
        <w:tc>
          <w:tcPr>
            <w:tcW w:w="2410" w:type="dxa"/>
          </w:tcPr>
          <w:p w:rsidR="003A14E7" w:rsidRPr="00AF181E" w:rsidRDefault="003A14E7" w:rsidP="005D25A0">
            <w:pPr>
              <w:autoSpaceDE w:val="0"/>
              <w:autoSpaceDN w:val="0"/>
              <w:adjustRightInd w:val="0"/>
              <w:jc w:val="center"/>
              <w:rPr>
                <w:sz w:val="23"/>
                <w:szCs w:val="23"/>
              </w:rPr>
            </w:pPr>
            <w:r w:rsidRPr="00AF181E">
              <w:rPr>
                <w:sz w:val="23"/>
                <w:szCs w:val="23"/>
              </w:rPr>
              <w:t>9%</w:t>
            </w:r>
          </w:p>
        </w:tc>
      </w:tr>
      <w:tr w:rsidR="003A14E7" w:rsidRPr="00AF181E" w:rsidTr="00413AA1">
        <w:tc>
          <w:tcPr>
            <w:tcW w:w="1951" w:type="dxa"/>
          </w:tcPr>
          <w:p w:rsidR="003A14E7" w:rsidRPr="00AF181E" w:rsidRDefault="003A14E7" w:rsidP="00FF49C0">
            <w:pPr>
              <w:autoSpaceDE w:val="0"/>
              <w:autoSpaceDN w:val="0"/>
              <w:adjustRightInd w:val="0"/>
              <w:jc w:val="both"/>
              <w:rPr>
                <w:sz w:val="23"/>
                <w:szCs w:val="23"/>
              </w:rPr>
            </w:pPr>
            <w:r w:rsidRPr="00AF181E">
              <w:rPr>
                <w:sz w:val="23"/>
                <w:szCs w:val="23"/>
              </w:rPr>
              <w:t>Endessa</w:t>
            </w:r>
          </w:p>
        </w:tc>
        <w:tc>
          <w:tcPr>
            <w:tcW w:w="2552" w:type="dxa"/>
          </w:tcPr>
          <w:p w:rsidR="003A14E7" w:rsidRPr="00AF181E" w:rsidRDefault="003A14E7" w:rsidP="005D25A0">
            <w:pPr>
              <w:autoSpaceDE w:val="0"/>
              <w:autoSpaceDN w:val="0"/>
              <w:adjustRightInd w:val="0"/>
              <w:jc w:val="center"/>
              <w:rPr>
                <w:sz w:val="23"/>
                <w:szCs w:val="23"/>
              </w:rPr>
            </w:pPr>
            <w:r w:rsidRPr="00AF181E">
              <w:rPr>
                <w:sz w:val="23"/>
                <w:szCs w:val="23"/>
              </w:rPr>
              <w:t>10%</w:t>
            </w:r>
          </w:p>
        </w:tc>
        <w:tc>
          <w:tcPr>
            <w:tcW w:w="2551" w:type="dxa"/>
          </w:tcPr>
          <w:p w:rsidR="003A14E7" w:rsidRPr="00AF181E" w:rsidRDefault="003A14E7" w:rsidP="005D25A0">
            <w:pPr>
              <w:autoSpaceDE w:val="0"/>
              <w:autoSpaceDN w:val="0"/>
              <w:adjustRightInd w:val="0"/>
              <w:jc w:val="center"/>
              <w:rPr>
                <w:sz w:val="23"/>
                <w:szCs w:val="23"/>
              </w:rPr>
            </w:pPr>
            <w:r w:rsidRPr="00AF181E">
              <w:rPr>
                <w:sz w:val="23"/>
                <w:szCs w:val="23"/>
              </w:rPr>
              <w:t>10%</w:t>
            </w:r>
          </w:p>
        </w:tc>
        <w:tc>
          <w:tcPr>
            <w:tcW w:w="2410" w:type="dxa"/>
          </w:tcPr>
          <w:p w:rsidR="003A14E7" w:rsidRPr="00AF181E" w:rsidRDefault="003A14E7" w:rsidP="005D25A0">
            <w:pPr>
              <w:autoSpaceDE w:val="0"/>
              <w:autoSpaceDN w:val="0"/>
              <w:adjustRightInd w:val="0"/>
              <w:jc w:val="center"/>
              <w:rPr>
                <w:sz w:val="23"/>
                <w:szCs w:val="23"/>
              </w:rPr>
            </w:pPr>
            <w:r w:rsidRPr="00AF181E">
              <w:rPr>
                <w:sz w:val="23"/>
                <w:szCs w:val="23"/>
              </w:rPr>
              <w:t>9%</w:t>
            </w:r>
          </w:p>
        </w:tc>
      </w:tr>
      <w:tr w:rsidR="003A14E7" w:rsidRPr="00AF181E" w:rsidTr="00413AA1">
        <w:tc>
          <w:tcPr>
            <w:tcW w:w="1951" w:type="dxa"/>
          </w:tcPr>
          <w:p w:rsidR="003A14E7" w:rsidRPr="00AF181E" w:rsidRDefault="003A14E7" w:rsidP="00FF49C0">
            <w:pPr>
              <w:autoSpaceDE w:val="0"/>
              <w:autoSpaceDN w:val="0"/>
              <w:adjustRightInd w:val="0"/>
              <w:jc w:val="both"/>
              <w:rPr>
                <w:sz w:val="23"/>
                <w:szCs w:val="23"/>
              </w:rPr>
            </w:pPr>
            <w:r w:rsidRPr="00AF181E">
              <w:rPr>
                <w:sz w:val="23"/>
                <w:szCs w:val="23"/>
              </w:rPr>
              <w:t>ESB I</w:t>
            </w:r>
          </w:p>
        </w:tc>
        <w:tc>
          <w:tcPr>
            <w:tcW w:w="2552" w:type="dxa"/>
          </w:tcPr>
          <w:p w:rsidR="003A14E7" w:rsidRPr="00AF181E" w:rsidRDefault="003A14E7" w:rsidP="005D25A0">
            <w:pPr>
              <w:autoSpaceDE w:val="0"/>
              <w:autoSpaceDN w:val="0"/>
              <w:adjustRightInd w:val="0"/>
              <w:jc w:val="center"/>
              <w:rPr>
                <w:sz w:val="23"/>
                <w:szCs w:val="23"/>
              </w:rPr>
            </w:pPr>
            <w:r w:rsidRPr="00AF181E">
              <w:rPr>
                <w:sz w:val="23"/>
                <w:szCs w:val="23"/>
              </w:rPr>
              <w:t>8%</w:t>
            </w:r>
          </w:p>
        </w:tc>
        <w:tc>
          <w:tcPr>
            <w:tcW w:w="2551" w:type="dxa"/>
          </w:tcPr>
          <w:p w:rsidR="003A14E7" w:rsidRPr="00AF181E" w:rsidRDefault="003A14E7" w:rsidP="005D25A0">
            <w:pPr>
              <w:autoSpaceDE w:val="0"/>
              <w:autoSpaceDN w:val="0"/>
              <w:adjustRightInd w:val="0"/>
              <w:jc w:val="center"/>
              <w:rPr>
                <w:sz w:val="23"/>
                <w:szCs w:val="23"/>
              </w:rPr>
            </w:pPr>
            <w:r w:rsidRPr="00AF181E">
              <w:rPr>
                <w:sz w:val="23"/>
                <w:szCs w:val="23"/>
              </w:rPr>
              <w:t>8%</w:t>
            </w:r>
          </w:p>
        </w:tc>
        <w:tc>
          <w:tcPr>
            <w:tcW w:w="2410" w:type="dxa"/>
          </w:tcPr>
          <w:p w:rsidR="003A14E7" w:rsidRPr="00AF181E" w:rsidRDefault="003A14E7" w:rsidP="005D25A0">
            <w:pPr>
              <w:autoSpaceDE w:val="0"/>
              <w:autoSpaceDN w:val="0"/>
              <w:adjustRightInd w:val="0"/>
              <w:jc w:val="center"/>
              <w:rPr>
                <w:sz w:val="23"/>
                <w:szCs w:val="23"/>
              </w:rPr>
            </w:pPr>
            <w:r w:rsidRPr="00AF181E">
              <w:rPr>
                <w:sz w:val="23"/>
                <w:szCs w:val="23"/>
              </w:rPr>
              <w:t>8%</w:t>
            </w:r>
          </w:p>
        </w:tc>
      </w:tr>
      <w:tr w:rsidR="003A14E7" w:rsidRPr="00AF181E" w:rsidTr="00413AA1">
        <w:tc>
          <w:tcPr>
            <w:tcW w:w="1951" w:type="dxa"/>
          </w:tcPr>
          <w:p w:rsidR="003A14E7" w:rsidRPr="00AF181E" w:rsidRDefault="003A14E7" w:rsidP="00FF49C0">
            <w:pPr>
              <w:autoSpaceDE w:val="0"/>
              <w:autoSpaceDN w:val="0"/>
              <w:adjustRightInd w:val="0"/>
              <w:jc w:val="both"/>
              <w:rPr>
                <w:sz w:val="23"/>
                <w:szCs w:val="23"/>
              </w:rPr>
            </w:pPr>
            <w:r w:rsidRPr="00AF181E">
              <w:rPr>
                <w:sz w:val="23"/>
                <w:szCs w:val="23"/>
              </w:rPr>
              <w:t>Viridian</w:t>
            </w:r>
          </w:p>
        </w:tc>
        <w:tc>
          <w:tcPr>
            <w:tcW w:w="2552" w:type="dxa"/>
          </w:tcPr>
          <w:p w:rsidR="003A14E7" w:rsidRPr="00AF181E" w:rsidRDefault="003A14E7" w:rsidP="005D25A0">
            <w:pPr>
              <w:autoSpaceDE w:val="0"/>
              <w:autoSpaceDN w:val="0"/>
              <w:adjustRightInd w:val="0"/>
              <w:jc w:val="center"/>
              <w:rPr>
                <w:sz w:val="23"/>
                <w:szCs w:val="23"/>
              </w:rPr>
            </w:pPr>
            <w:r w:rsidRPr="00AF181E">
              <w:rPr>
                <w:sz w:val="23"/>
                <w:szCs w:val="23"/>
              </w:rPr>
              <w:t>8%</w:t>
            </w:r>
          </w:p>
        </w:tc>
        <w:tc>
          <w:tcPr>
            <w:tcW w:w="2551" w:type="dxa"/>
          </w:tcPr>
          <w:p w:rsidR="003A14E7" w:rsidRPr="00AF181E" w:rsidRDefault="003A14E7" w:rsidP="005D25A0">
            <w:pPr>
              <w:autoSpaceDE w:val="0"/>
              <w:autoSpaceDN w:val="0"/>
              <w:adjustRightInd w:val="0"/>
              <w:jc w:val="center"/>
              <w:rPr>
                <w:sz w:val="23"/>
                <w:szCs w:val="23"/>
              </w:rPr>
            </w:pPr>
            <w:r w:rsidRPr="00AF181E">
              <w:rPr>
                <w:sz w:val="23"/>
                <w:szCs w:val="23"/>
              </w:rPr>
              <w:t>8%</w:t>
            </w:r>
          </w:p>
        </w:tc>
        <w:tc>
          <w:tcPr>
            <w:tcW w:w="2410" w:type="dxa"/>
          </w:tcPr>
          <w:p w:rsidR="003A14E7" w:rsidRPr="00AF181E" w:rsidRDefault="003A14E7" w:rsidP="005D25A0">
            <w:pPr>
              <w:autoSpaceDE w:val="0"/>
              <w:autoSpaceDN w:val="0"/>
              <w:adjustRightInd w:val="0"/>
              <w:jc w:val="center"/>
              <w:rPr>
                <w:sz w:val="23"/>
                <w:szCs w:val="23"/>
              </w:rPr>
            </w:pPr>
            <w:r w:rsidRPr="00AF181E">
              <w:rPr>
                <w:sz w:val="23"/>
                <w:szCs w:val="23"/>
              </w:rPr>
              <w:t>7%</w:t>
            </w:r>
          </w:p>
        </w:tc>
      </w:tr>
      <w:tr w:rsidR="003A14E7" w:rsidRPr="00AF181E" w:rsidTr="00413AA1">
        <w:tc>
          <w:tcPr>
            <w:tcW w:w="1951" w:type="dxa"/>
          </w:tcPr>
          <w:p w:rsidR="003A14E7" w:rsidRPr="00AF181E" w:rsidRDefault="003A14E7" w:rsidP="00FF49C0">
            <w:pPr>
              <w:autoSpaceDE w:val="0"/>
              <w:autoSpaceDN w:val="0"/>
              <w:adjustRightInd w:val="0"/>
              <w:jc w:val="both"/>
              <w:rPr>
                <w:sz w:val="23"/>
                <w:szCs w:val="23"/>
              </w:rPr>
            </w:pPr>
            <w:r w:rsidRPr="00AF181E">
              <w:rPr>
                <w:sz w:val="23"/>
                <w:szCs w:val="23"/>
              </w:rPr>
              <w:t xml:space="preserve">AES </w:t>
            </w:r>
          </w:p>
        </w:tc>
        <w:tc>
          <w:tcPr>
            <w:tcW w:w="2552" w:type="dxa"/>
          </w:tcPr>
          <w:p w:rsidR="003A14E7" w:rsidRPr="00AF181E" w:rsidRDefault="00563C19" w:rsidP="00563C19">
            <w:pPr>
              <w:autoSpaceDE w:val="0"/>
              <w:autoSpaceDN w:val="0"/>
              <w:adjustRightInd w:val="0"/>
              <w:jc w:val="center"/>
              <w:rPr>
                <w:sz w:val="23"/>
                <w:szCs w:val="23"/>
              </w:rPr>
            </w:pPr>
            <w:r>
              <w:rPr>
                <w:sz w:val="23"/>
                <w:szCs w:val="23"/>
              </w:rPr>
              <w:t>6</w:t>
            </w:r>
            <w:r w:rsidR="003A14E7" w:rsidRPr="00AF181E">
              <w:rPr>
                <w:sz w:val="23"/>
                <w:szCs w:val="23"/>
              </w:rPr>
              <w:t>%</w:t>
            </w:r>
          </w:p>
        </w:tc>
        <w:tc>
          <w:tcPr>
            <w:tcW w:w="2551" w:type="dxa"/>
          </w:tcPr>
          <w:p w:rsidR="003A14E7" w:rsidRPr="00AF181E" w:rsidRDefault="00563C19" w:rsidP="00563C19">
            <w:pPr>
              <w:autoSpaceDE w:val="0"/>
              <w:autoSpaceDN w:val="0"/>
              <w:adjustRightInd w:val="0"/>
              <w:jc w:val="center"/>
              <w:rPr>
                <w:sz w:val="23"/>
                <w:szCs w:val="23"/>
              </w:rPr>
            </w:pPr>
            <w:r>
              <w:rPr>
                <w:sz w:val="23"/>
                <w:szCs w:val="23"/>
              </w:rPr>
              <w:t>9</w:t>
            </w:r>
            <w:r w:rsidR="003A14E7" w:rsidRPr="00AF181E">
              <w:rPr>
                <w:sz w:val="23"/>
                <w:szCs w:val="23"/>
              </w:rPr>
              <w:t>%</w:t>
            </w:r>
          </w:p>
        </w:tc>
        <w:tc>
          <w:tcPr>
            <w:tcW w:w="2410" w:type="dxa"/>
          </w:tcPr>
          <w:p w:rsidR="003A14E7" w:rsidRPr="00AF181E" w:rsidRDefault="003A14E7" w:rsidP="005D25A0">
            <w:pPr>
              <w:autoSpaceDE w:val="0"/>
              <w:autoSpaceDN w:val="0"/>
              <w:adjustRightInd w:val="0"/>
              <w:jc w:val="center"/>
              <w:rPr>
                <w:sz w:val="23"/>
                <w:szCs w:val="23"/>
              </w:rPr>
            </w:pPr>
            <w:r w:rsidRPr="00AF181E">
              <w:rPr>
                <w:sz w:val="23"/>
                <w:szCs w:val="23"/>
              </w:rPr>
              <w:t>8%</w:t>
            </w:r>
          </w:p>
        </w:tc>
      </w:tr>
      <w:tr w:rsidR="003A14E7" w:rsidRPr="00AF181E" w:rsidTr="00413AA1">
        <w:tc>
          <w:tcPr>
            <w:tcW w:w="1951" w:type="dxa"/>
          </w:tcPr>
          <w:p w:rsidR="003A14E7" w:rsidRPr="00AF181E" w:rsidRDefault="003A14E7" w:rsidP="00FF49C0">
            <w:pPr>
              <w:autoSpaceDE w:val="0"/>
              <w:autoSpaceDN w:val="0"/>
              <w:adjustRightInd w:val="0"/>
              <w:jc w:val="both"/>
              <w:rPr>
                <w:sz w:val="23"/>
                <w:szCs w:val="23"/>
              </w:rPr>
            </w:pPr>
            <w:r w:rsidRPr="00AF181E">
              <w:rPr>
                <w:sz w:val="23"/>
                <w:szCs w:val="23"/>
              </w:rPr>
              <w:t>Premier Power</w:t>
            </w:r>
          </w:p>
        </w:tc>
        <w:tc>
          <w:tcPr>
            <w:tcW w:w="2552" w:type="dxa"/>
          </w:tcPr>
          <w:p w:rsidR="003A14E7" w:rsidRPr="00AF181E" w:rsidRDefault="003A14E7" w:rsidP="005D25A0">
            <w:pPr>
              <w:autoSpaceDE w:val="0"/>
              <w:autoSpaceDN w:val="0"/>
              <w:adjustRightInd w:val="0"/>
              <w:jc w:val="center"/>
              <w:rPr>
                <w:sz w:val="23"/>
                <w:szCs w:val="23"/>
              </w:rPr>
            </w:pPr>
            <w:r w:rsidRPr="00AF181E">
              <w:rPr>
                <w:sz w:val="23"/>
                <w:szCs w:val="23"/>
              </w:rPr>
              <w:t>3%</w:t>
            </w:r>
          </w:p>
        </w:tc>
        <w:tc>
          <w:tcPr>
            <w:tcW w:w="2551" w:type="dxa"/>
          </w:tcPr>
          <w:p w:rsidR="003A14E7" w:rsidRPr="00AF181E" w:rsidRDefault="003A14E7" w:rsidP="005D25A0">
            <w:pPr>
              <w:autoSpaceDE w:val="0"/>
              <w:autoSpaceDN w:val="0"/>
              <w:adjustRightInd w:val="0"/>
              <w:jc w:val="center"/>
              <w:rPr>
                <w:sz w:val="23"/>
                <w:szCs w:val="23"/>
              </w:rPr>
            </w:pPr>
            <w:r w:rsidRPr="00AF181E">
              <w:rPr>
                <w:sz w:val="23"/>
                <w:szCs w:val="23"/>
              </w:rPr>
              <w:t>-</w:t>
            </w:r>
          </w:p>
        </w:tc>
        <w:tc>
          <w:tcPr>
            <w:tcW w:w="2410" w:type="dxa"/>
          </w:tcPr>
          <w:p w:rsidR="003A14E7" w:rsidRPr="00AF181E" w:rsidRDefault="003A14E7" w:rsidP="005D25A0">
            <w:pPr>
              <w:autoSpaceDE w:val="0"/>
              <w:autoSpaceDN w:val="0"/>
              <w:adjustRightInd w:val="0"/>
              <w:jc w:val="center"/>
              <w:rPr>
                <w:sz w:val="23"/>
                <w:szCs w:val="23"/>
              </w:rPr>
            </w:pPr>
            <w:r w:rsidRPr="00AF181E">
              <w:rPr>
                <w:sz w:val="23"/>
                <w:szCs w:val="23"/>
              </w:rPr>
              <w:t>-</w:t>
            </w:r>
          </w:p>
        </w:tc>
      </w:tr>
      <w:tr w:rsidR="003A14E7" w:rsidRPr="00AF181E" w:rsidTr="00413AA1">
        <w:tc>
          <w:tcPr>
            <w:tcW w:w="1951" w:type="dxa"/>
          </w:tcPr>
          <w:p w:rsidR="003A14E7" w:rsidRPr="00AF181E" w:rsidRDefault="003A14E7" w:rsidP="00FF49C0">
            <w:pPr>
              <w:autoSpaceDE w:val="0"/>
              <w:autoSpaceDN w:val="0"/>
              <w:adjustRightInd w:val="0"/>
              <w:jc w:val="both"/>
              <w:rPr>
                <w:sz w:val="23"/>
                <w:szCs w:val="23"/>
              </w:rPr>
            </w:pPr>
            <w:r w:rsidRPr="00AF181E">
              <w:rPr>
                <w:sz w:val="23"/>
                <w:szCs w:val="23"/>
              </w:rPr>
              <w:t>Bord Gais</w:t>
            </w:r>
          </w:p>
        </w:tc>
        <w:tc>
          <w:tcPr>
            <w:tcW w:w="2552" w:type="dxa"/>
          </w:tcPr>
          <w:p w:rsidR="003A14E7" w:rsidRPr="00AF181E" w:rsidRDefault="003A14E7" w:rsidP="005D25A0">
            <w:pPr>
              <w:autoSpaceDE w:val="0"/>
              <w:autoSpaceDN w:val="0"/>
              <w:adjustRightInd w:val="0"/>
              <w:jc w:val="center"/>
              <w:rPr>
                <w:sz w:val="23"/>
                <w:szCs w:val="23"/>
              </w:rPr>
            </w:pPr>
            <w:r w:rsidRPr="00AF181E">
              <w:rPr>
                <w:sz w:val="23"/>
                <w:szCs w:val="23"/>
              </w:rPr>
              <w:t>4%</w:t>
            </w:r>
          </w:p>
        </w:tc>
        <w:tc>
          <w:tcPr>
            <w:tcW w:w="2551" w:type="dxa"/>
          </w:tcPr>
          <w:p w:rsidR="003A14E7" w:rsidRPr="00AF181E" w:rsidRDefault="003A14E7" w:rsidP="005D25A0">
            <w:pPr>
              <w:autoSpaceDE w:val="0"/>
              <w:autoSpaceDN w:val="0"/>
              <w:adjustRightInd w:val="0"/>
              <w:jc w:val="center"/>
              <w:rPr>
                <w:sz w:val="23"/>
                <w:szCs w:val="23"/>
              </w:rPr>
            </w:pPr>
            <w:r w:rsidRPr="00AF181E">
              <w:rPr>
                <w:sz w:val="23"/>
                <w:szCs w:val="23"/>
              </w:rPr>
              <w:t>4%</w:t>
            </w:r>
          </w:p>
        </w:tc>
        <w:tc>
          <w:tcPr>
            <w:tcW w:w="2410" w:type="dxa"/>
          </w:tcPr>
          <w:p w:rsidR="003A14E7" w:rsidRPr="00AF181E" w:rsidRDefault="003A14E7" w:rsidP="005D25A0">
            <w:pPr>
              <w:autoSpaceDE w:val="0"/>
              <w:autoSpaceDN w:val="0"/>
              <w:adjustRightInd w:val="0"/>
              <w:jc w:val="center"/>
              <w:rPr>
                <w:sz w:val="23"/>
                <w:szCs w:val="23"/>
              </w:rPr>
            </w:pPr>
            <w:r w:rsidRPr="00AF181E">
              <w:rPr>
                <w:sz w:val="23"/>
                <w:szCs w:val="23"/>
              </w:rPr>
              <w:t>7%</w:t>
            </w:r>
          </w:p>
        </w:tc>
      </w:tr>
      <w:tr w:rsidR="003A14E7" w:rsidRPr="00AF181E" w:rsidTr="00413AA1">
        <w:tc>
          <w:tcPr>
            <w:tcW w:w="1951" w:type="dxa"/>
          </w:tcPr>
          <w:p w:rsidR="003A14E7" w:rsidRPr="00AF181E" w:rsidRDefault="003A14E7" w:rsidP="00FF49C0">
            <w:pPr>
              <w:autoSpaceDE w:val="0"/>
              <w:autoSpaceDN w:val="0"/>
              <w:adjustRightInd w:val="0"/>
              <w:jc w:val="both"/>
              <w:rPr>
                <w:sz w:val="23"/>
                <w:szCs w:val="23"/>
              </w:rPr>
            </w:pPr>
            <w:r w:rsidRPr="00AF181E">
              <w:rPr>
                <w:sz w:val="23"/>
                <w:szCs w:val="23"/>
              </w:rPr>
              <w:t>GB I/C</w:t>
            </w:r>
          </w:p>
        </w:tc>
        <w:tc>
          <w:tcPr>
            <w:tcW w:w="2552" w:type="dxa"/>
          </w:tcPr>
          <w:p w:rsidR="003A14E7" w:rsidRPr="00AF181E" w:rsidRDefault="003A14E7" w:rsidP="005D25A0">
            <w:pPr>
              <w:autoSpaceDE w:val="0"/>
              <w:autoSpaceDN w:val="0"/>
              <w:adjustRightInd w:val="0"/>
              <w:jc w:val="center"/>
              <w:rPr>
                <w:sz w:val="23"/>
                <w:szCs w:val="23"/>
              </w:rPr>
            </w:pPr>
            <w:r w:rsidRPr="00AF181E">
              <w:rPr>
                <w:sz w:val="23"/>
                <w:szCs w:val="23"/>
              </w:rPr>
              <w:t>4%</w:t>
            </w:r>
          </w:p>
        </w:tc>
        <w:tc>
          <w:tcPr>
            <w:tcW w:w="2551" w:type="dxa"/>
          </w:tcPr>
          <w:p w:rsidR="003A14E7" w:rsidRPr="00AF181E" w:rsidRDefault="003A14E7" w:rsidP="005D25A0">
            <w:pPr>
              <w:autoSpaceDE w:val="0"/>
              <w:autoSpaceDN w:val="0"/>
              <w:adjustRightInd w:val="0"/>
              <w:jc w:val="center"/>
              <w:rPr>
                <w:sz w:val="23"/>
                <w:szCs w:val="23"/>
              </w:rPr>
            </w:pPr>
            <w:r w:rsidRPr="00AF181E">
              <w:rPr>
                <w:sz w:val="23"/>
                <w:szCs w:val="23"/>
              </w:rPr>
              <w:t>4%</w:t>
            </w:r>
          </w:p>
        </w:tc>
        <w:tc>
          <w:tcPr>
            <w:tcW w:w="2410" w:type="dxa"/>
          </w:tcPr>
          <w:p w:rsidR="003A14E7" w:rsidRPr="00AF181E" w:rsidRDefault="003A14E7" w:rsidP="005D25A0">
            <w:pPr>
              <w:autoSpaceDE w:val="0"/>
              <w:autoSpaceDN w:val="0"/>
              <w:adjustRightInd w:val="0"/>
              <w:jc w:val="center"/>
              <w:rPr>
                <w:sz w:val="23"/>
                <w:szCs w:val="23"/>
              </w:rPr>
            </w:pPr>
            <w:r w:rsidRPr="00AF181E">
              <w:rPr>
                <w:sz w:val="23"/>
                <w:szCs w:val="23"/>
              </w:rPr>
              <w:t>8%</w:t>
            </w:r>
          </w:p>
        </w:tc>
      </w:tr>
      <w:tr w:rsidR="003A14E7" w:rsidRPr="00AF181E" w:rsidTr="00413AA1">
        <w:tc>
          <w:tcPr>
            <w:tcW w:w="1951" w:type="dxa"/>
          </w:tcPr>
          <w:p w:rsidR="003A14E7" w:rsidRPr="00AF181E" w:rsidRDefault="003A14E7" w:rsidP="00FF49C0">
            <w:pPr>
              <w:autoSpaceDE w:val="0"/>
              <w:autoSpaceDN w:val="0"/>
              <w:adjustRightInd w:val="0"/>
              <w:jc w:val="both"/>
              <w:rPr>
                <w:sz w:val="23"/>
                <w:szCs w:val="23"/>
              </w:rPr>
            </w:pPr>
            <w:r w:rsidRPr="00AF181E">
              <w:rPr>
                <w:sz w:val="23"/>
                <w:szCs w:val="23"/>
              </w:rPr>
              <w:t>Tynagh</w:t>
            </w:r>
          </w:p>
        </w:tc>
        <w:tc>
          <w:tcPr>
            <w:tcW w:w="2552" w:type="dxa"/>
          </w:tcPr>
          <w:p w:rsidR="003A14E7" w:rsidRPr="00AF181E" w:rsidRDefault="003A14E7" w:rsidP="005D25A0">
            <w:pPr>
              <w:autoSpaceDE w:val="0"/>
              <w:autoSpaceDN w:val="0"/>
              <w:adjustRightInd w:val="0"/>
              <w:jc w:val="center"/>
              <w:rPr>
                <w:sz w:val="23"/>
                <w:szCs w:val="23"/>
              </w:rPr>
            </w:pPr>
            <w:r w:rsidRPr="00AF181E">
              <w:rPr>
                <w:sz w:val="23"/>
                <w:szCs w:val="23"/>
              </w:rPr>
              <w:t>4%</w:t>
            </w:r>
          </w:p>
        </w:tc>
        <w:tc>
          <w:tcPr>
            <w:tcW w:w="2551" w:type="dxa"/>
          </w:tcPr>
          <w:p w:rsidR="003A14E7" w:rsidRPr="00AF181E" w:rsidRDefault="003A14E7" w:rsidP="005D25A0">
            <w:pPr>
              <w:autoSpaceDE w:val="0"/>
              <w:autoSpaceDN w:val="0"/>
              <w:adjustRightInd w:val="0"/>
              <w:jc w:val="center"/>
              <w:rPr>
                <w:sz w:val="23"/>
                <w:szCs w:val="23"/>
              </w:rPr>
            </w:pPr>
            <w:r w:rsidRPr="00AF181E">
              <w:rPr>
                <w:sz w:val="23"/>
                <w:szCs w:val="23"/>
              </w:rPr>
              <w:t>4%</w:t>
            </w:r>
          </w:p>
        </w:tc>
        <w:tc>
          <w:tcPr>
            <w:tcW w:w="2410" w:type="dxa"/>
          </w:tcPr>
          <w:p w:rsidR="003A14E7" w:rsidRPr="00AF181E" w:rsidRDefault="003A14E7" w:rsidP="005D25A0">
            <w:pPr>
              <w:autoSpaceDE w:val="0"/>
              <w:autoSpaceDN w:val="0"/>
              <w:adjustRightInd w:val="0"/>
              <w:jc w:val="center"/>
              <w:rPr>
                <w:sz w:val="23"/>
                <w:szCs w:val="23"/>
              </w:rPr>
            </w:pPr>
            <w:r w:rsidRPr="00AF181E">
              <w:rPr>
                <w:sz w:val="23"/>
                <w:szCs w:val="23"/>
              </w:rPr>
              <w:t>4%</w:t>
            </w:r>
          </w:p>
        </w:tc>
      </w:tr>
      <w:tr w:rsidR="003A14E7" w:rsidRPr="00AF181E" w:rsidTr="00413AA1">
        <w:tc>
          <w:tcPr>
            <w:tcW w:w="1951" w:type="dxa"/>
          </w:tcPr>
          <w:p w:rsidR="003A14E7" w:rsidRPr="00AF181E" w:rsidRDefault="003A14E7" w:rsidP="00FF49C0">
            <w:pPr>
              <w:autoSpaceDE w:val="0"/>
              <w:autoSpaceDN w:val="0"/>
              <w:adjustRightInd w:val="0"/>
              <w:jc w:val="both"/>
              <w:rPr>
                <w:sz w:val="23"/>
                <w:szCs w:val="23"/>
              </w:rPr>
            </w:pPr>
            <w:r w:rsidRPr="00AF181E">
              <w:rPr>
                <w:sz w:val="23"/>
                <w:szCs w:val="23"/>
              </w:rPr>
              <w:t>Bord na Mona</w:t>
            </w:r>
          </w:p>
        </w:tc>
        <w:tc>
          <w:tcPr>
            <w:tcW w:w="2552" w:type="dxa"/>
          </w:tcPr>
          <w:p w:rsidR="003A14E7" w:rsidRPr="00AF181E" w:rsidRDefault="003A14E7" w:rsidP="005D25A0">
            <w:pPr>
              <w:autoSpaceDE w:val="0"/>
              <w:autoSpaceDN w:val="0"/>
              <w:adjustRightInd w:val="0"/>
              <w:jc w:val="center"/>
              <w:rPr>
                <w:sz w:val="23"/>
                <w:szCs w:val="23"/>
              </w:rPr>
            </w:pPr>
            <w:r w:rsidRPr="00AF181E">
              <w:rPr>
                <w:sz w:val="23"/>
                <w:szCs w:val="23"/>
              </w:rPr>
              <w:t>2%</w:t>
            </w:r>
          </w:p>
        </w:tc>
        <w:tc>
          <w:tcPr>
            <w:tcW w:w="2551" w:type="dxa"/>
          </w:tcPr>
          <w:p w:rsidR="003A14E7" w:rsidRPr="00AF181E" w:rsidRDefault="003A14E7" w:rsidP="005D25A0">
            <w:pPr>
              <w:autoSpaceDE w:val="0"/>
              <w:autoSpaceDN w:val="0"/>
              <w:adjustRightInd w:val="0"/>
              <w:jc w:val="center"/>
              <w:rPr>
                <w:sz w:val="23"/>
                <w:szCs w:val="23"/>
              </w:rPr>
            </w:pPr>
            <w:r w:rsidRPr="00AF181E">
              <w:rPr>
                <w:sz w:val="23"/>
                <w:szCs w:val="23"/>
              </w:rPr>
              <w:t>2%</w:t>
            </w:r>
          </w:p>
        </w:tc>
        <w:tc>
          <w:tcPr>
            <w:tcW w:w="2410" w:type="dxa"/>
          </w:tcPr>
          <w:p w:rsidR="003A14E7" w:rsidRPr="00AF181E" w:rsidRDefault="003A14E7" w:rsidP="005D25A0">
            <w:pPr>
              <w:autoSpaceDE w:val="0"/>
              <w:autoSpaceDN w:val="0"/>
              <w:adjustRightInd w:val="0"/>
              <w:jc w:val="center"/>
              <w:rPr>
                <w:sz w:val="23"/>
                <w:szCs w:val="23"/>
              </w:rPr>
            </w:pPr>
            <w:r w:rsidRPr="00AF181E">
              <w:rPr>
                <w:sz w:val="23"/>
                <w:szCs w:val="23"/>
              </w:rPr>
              <w:t>2%</w:t>
            </w:r>
          </w:p>
        </w:tc>
      </w:tr>
      <w:tr w:rsidR="003A14E7" w:rsidRPr="00AF181E" w:rsidTr="00413AA1">
        <w:tc>
          <w:tcPr>
            <w:tcW w:w="1951" w:type="dxa"/>
          </w:tcPr>
          <w:p w:rsidR="003A14E7" w:rsidRPr="00AF181E" w:rsidRDefault="003A14E7" w:rsidP="00FF49C0">
            <w:pPr>
              <w:autoSpaceDE w:val="0"/>
              <w:autoSpaceDN w:val="0"/>
              <w:adjustRightInd w:val="0"/>
              <w:jc w:val="both"/>
              <w:rPr>
                <w:sz w:val="23"/>
                <w:szCs w:val="23"/>
              </w:rPr>
            </w:pPr>
            <w:r w:rsidRPr="00AF181E">
              <w:rPr>
                <w:sz w:val="23"/>
                <w:szCs w:val="23"/>
              </w:rPr>
              <w:t>Others</w:t>
            </w:r>
          </w:p>
        </w:tc>
        <w:tc>
          <w:tcPr>
            <w:tcW w:w="2552" w:type="dxa"/>
          </w:tcPr>
          <w:p w:rsidR="003A14E7" w:rsidRPr="00AF181E" w:rsidRDefault="003A14E7" w:rsidP="005D25A0">
            <w:pPr>
              <w:autoSpaceDE w:val="0"/>
              <w:autoSpaceDN w:val="0"/>
              <w:adjustRightInd w:val="0"/>
              <w:jc w:val="center"/>
              <w:rPr>
                <w:sz w:val="23"/>
                <w:szCs w:val="23"/>
              </w:rPr>
            </w:pPr>
            <w:r w:rsidRPr="00AF181E">
              <w:rPr>
                <w:sz w:val="23"/>
                <w:szCs w:val="23"/>
              </w:rPr>
              <w:t>7%</w:t>
            </w:r>
          </w:p>
        </w:tc>
        <w:tc>
          <w:tcPr>
            <w:tcW w:w="2551" w:type="dxa"/>
          </w:tcPr>
          <w:p w:rsidR="003A14E7" w:rsidRPr="00AF181E" w:rsidRDefault="003A14E7" w:rsidP="005D25A0">
            <w:pPr>
              <w:autoSpaceDE w:val="0"/>
              <w:autoSpaceDN w:val="0"/>
              <w:adjustRightInd w:val="0"/>
              <w:jc w:val="center"/>
              <w:rPr>
                <w:sz w:val="23"/>
                <w:szCs w:val="23"/>
              </w:rPr>
            </w:pPr>
            <w:r w:rsidRPr="00AF181E">
              <w:rPr>
                <w:sz w:val="23"/>
                <w:szCs w:val="23"/>
              </w:rPr>
              <w:t>7%</w:t>
            </w:r>
          </w:p>
        </w:tc>
        <w:tc>
          <w:tcPr>
            <w:tcW w:w="2410" w:type="dxa"/>
          </w:tcPr>
          <w:p w:rsidR="003A14E7" w:rsidRPr="00AF181E" w:rsidRDefault="003A14E7" w:rsidP="005D25A0">
            <w:pPr>
              <w:autoSpaceDE w:val="0"/>
              <w:autoSpaceDN w:val="0"/>
              <w:adjustRightInd w:val="0"/>
              <w:jc w:val="center"/>
              <w:rPr>
                <w:sz w:val="23"/>
                <w:szCs w:val="23"/>
              </w:rPr>
            </w:pPr>
            <w:r w:rsidRPr="00AF181E">
              <w:rPr>
                <w:sz w:val="23"/>
                <w:szCs w:val="23"/>
              </w:rPr>
              <w:t>8%</w:t>
            </w:r>
          </w:p>
        </w:tc>
      </w:tr>
    </w:tbl>
    <w:p w:rsidR="002A5FA6" w:rsidRPr="00AF181E" w:rsidRDefault="002A5FA6" w:rsidP="00FF49C0">
      <w:pPr>
        <w:autoSpaceDE w:val="0"/>
        <w:autoSpaceDN w:val="0"/>
        <w:adjustRightInd w:val="0"/>
        <w:spacing w:after="0" w:line="240" w:lineRule="auto"/>
        <w:jc w:val="both"/>
        <w:rPr>
          <w:sz w:val="23"/>
          <w:szCs w:val="23"/>
        </w:rPr>
      </w:pPr>
      <w:r w:rsidRPr="00AF181E">
        <w:rPr>
          <w:sz w:val="23"/>
          <w:szCs w:val="23"/>
        </w:rPr>
        <w:lastRenderedPageBreak/>
        <w:t>As can be seen from the above table</w:t>
      </w:r>
      <w:r w:rsidR="000E4332" w:rsidRPr="00AF181E">
        <w:rPr>
          <w:sz w:val="23"/>
          <w:szCs w:val="23"/>
        </w:rPr>
        <w:t xml:space="preserve"> AES </w:t>
      </w:r>
      <w:r w:rsidRPr="00AF181E">
        <w:rPr>
          <w:sz w:val="23"/>
          <w:szCs w:val="23"/>
        </w:rPr>
        <w:t xml:space="preserve">has commercial control over </w:t>
      </w:r>
      <w:r w:rsidR="000222F8">
        <w:rPr>
          <w:sz w:val="23"/>
          <w:szCs w:val="23"/>
        </w:rPr>
        <w:t>9</w:t>
      </w:r>
      <w:r w:rsidRPr="00AF181E">
        <w:rPr>
          <w:sz w:val="23"/>
          <w:szCs w:val="23"/>
        </w:rPr>
        <w:t xml:space="preserve">% of the 2010 post acquisition capacity and 8% of the 2012 </w:t>
      </w:r>
      <w:r w:rsidR="0014013E" w:rsidRPr="00AF181E">
        <w:rPr>
          <w:sz w:val="23"/>
          <w:szCs w:val="23"/>
        </w:rPr>
        <w:t xml:space="preserve">forecast </w:t>
      </w:r>
      <w:r w:rsidRPr="00AF181E">
        <w:rPr>
          <w:sz w:val="23"/>
          <w:szCs w:val="23"/>
        </w:rPr>
        <w:t xml:space="preserve">capacity </w:t>
      </w:r>
      <w:r w:rsidR="000222F8">
        <w:rPr>
          <w:sz w:val="23"/>
          <w:szCs w:val="23"/>
        </w:rPr>
        <w:t>which is similar in magnitude to several other owners who are not being considered for further licence modifications. Based on these shareholding levels it is very unlikely that AES will be in a position to</w:t>
      </w:r>
      <w:r w:rsidRPr="00AF181E">
        <w:rPr>
          <w:sz w:val="23"/>
          <w:szCs w:val="23"/>
        </w:rPr>
        <w:t xml:space="preserve"> exercise market power.</w:t>
      </w:r>
    </w:p>
    <w:p w:rsidR="000E4332" w:rsidRPr="00AF181E" w:rsidRDefault="000E4332" w:rsidP="00FF49C0">
      <w:pPr>
        <w:autoSpaceDE w:val="0"/>
        <w:autoSpaceDN w:val="0"/>
        <w:adjustRightInd w:val="0"/>
        <w:spacing w:after="0" w:line="240" w:lineRule="auto"/>
        <w:jc w:val="both"/>
        <w:rPr>
          <w:sz w:val="23"/>
          <w:szCs w:val="23"/>
        </w:rPr>
      </w:pPr>
    </w:p>
    <w:p w:rsidR="000E4332" w:rsidRPr="00AF181E" w:rsidRDefault="000E4332" w:rsidP="00FF49C0">
      <w:pPr>
        <w:autoSpaceDE w:val="0"/>
        <w:autoSpaceDN w:val="0"/>
        <w:adjustRightInd w:val="0"/>
        <w:spacing w:after="0" w:line="240" w:lineRule="auto"/>
        <w:jc w:val="both"/>
        <w:rPr>
          <w:sz w:val="23"/>
          <w:szCs w:val="23"/>
        </w:rPr>
      </w:pPr>
      <w:r w:rsidRPr="00AF181E">
        <w:rPr>
          <w:sz w:val="23"/>
          <w:szCs w:val="23"/>
        </w:rPr>
        <w:t xml:space="preserve">The local Northern Ireland position is </w:t>
      </w:r>
      <w:r w:rsidR="000222F8">
        <w:rPr>
          <w:sz w:val="23"/>
          <w:szCs w:val="23"/>
        </w:rPr>
        <w:t>addressed</w:t>
      </w:r>
      <w:r w:rsidRPr="00AF181E">
        <w:rPr>
          <w:sz w:val="23"/>
          <w:szCs w:val="23"/>
        </w:rPr>
        <w:t xml:space="preserve"> under </w:t>
      </w:r>
      <w:r w:rsidR="00414DB9">
        <w:rPr>
          <w:sz w:val="23"/>
          <w:szCs w:val="23"/>
        </w:rPr>
        <w:t>S</w:t>
      </w:r>
      <w:r w:rsidRPr="00AF181E">
        <w:rPr>
          <w:sz w:val="23"/>
          <w:szCs w:val="23"/>
        </w:rPr>
        <w:t xml:space="preserve">ection </w:t>
      </w:r>
      <w:r w:rsidR="00414DB9">
        <w:rPr>
          <w:sz w:val="23"/>
          <w:szCs w:val="23"/>
        </w:rPr>
        <w:t xml:space="preserve">3.2 </w:t>
      </w:r>
      <w:r w:rsidRPr="00AF181E">
        <w:rPr>
          <w:sz w:val="23"/>
          <w:szCs w:val="23"/>
        </w:rPr>
        <w:t>on Local Market Power below.</w:t>
      </w:r>
    </w:p>
    <w:p w:rsidR="000E4332" w:rsidRPr="00AF181E" w:rsidRDefault="000E4332" w:rsidP="00FF49C0">
      <w:pPr>
        <w:autoSpaceDE w:val="0"/>
        <w:autoSpaceDN w:val="0"/>
        <w:adjustRightInd w:val="0"/>
        <w:spacing w:after="0" w:line="240" w:lineRule="auto"/>
        <w:jc w:val="both"/>
        <w:rPr>
          <w:sz w:val="23"/>
          <w:szCs w:val="23"/>
        </w:rPr>
      </w:pPr>
    </w:p>
    <w:p w:rsidR="000E4332" w:rsidRPr="00EE3E31" w:rsidRDefault="000E4332" w:rsidP="00FF49C0">
      <w:pPr>
        <w:autoSpaceDE w:val="0"/>
        <w:autoSpaceDN w:val="0"/>
        <w:adjustRightInd w:val="0"/>
        <w:spacing w:after="0" w:line="240" w:lineRule="auto"/>
        <w:jc w:val="both"/>
        <w:rPr>
          <w:i/>
          <w:sz w:val="24"/>
          <w:szCs w:val="24"/>
        </w:rPr>
      </w:pPr>
      <w:r w:rsidRPr="00EE3E31">
        <w:rPr>
          <w:b/>
          <w:i/>
          <w:sz w:val="24"/>
          <w:szCs w:val="24"/>
        </w:rPr>
        <w:t>By Energy</w:t>
      </w:r>
    </w:p>
    <w:p w:rsidR="000E4332" w:rsidRPr="00AF181E" w:rsidRDefault="000E4332" w:rsidP="00FF49C0">
      <w:pPr>
        <w:autoSpaceDE w:val="0"/>
        <w:autoSpaceDN w:val="0"/>
        <w:adjustRightInd w:val="0"/>
        <w:spacing w:after="0" w:line="240" w:lineRule="auto"/>
        <w:jc w:val="both"/>
        <w:rPr>
          <w:sz w:val="23"/>
          <w:szCs w:val="23"/>
        </w:rPr>
      </w:pPr>
    </w:p>
    <w:p w:rsidR="002A5FA6" w:rsidRPr="00AF181E" w:rsidRDefault="000222F8" w:rsidP="000E4332">
      <w:pPr>
        <w:autoSpaceDE w:val="0"/>
        <w:autoSpaceDN w:val="0"/>
        <w:adjustRightInd w:val="0"/>
        <w:spacing w:after="0" w:line="240" w:lineRule="auto"/>
        <w:jc w:val="both"/>
        <w:rPr>
          <w:rFonts w:cs="Calibri"/>
          <w:sz w:val="23"/>
          <w:szCs w:val="23"/>
          <w:lang w:val="en-US"/>
        </w:rPr>
      </w:pPr>
      <w:r>
        <w:rPr>
          <w:sz w:val="23"/>
          <w:szCs w:val="23"/>
        </w:rPr>
        <w:t>T</w:t>
      </w:r>
      <w:r w:rsidR="000E4332" w:rsidRPr="00AF181E">
        <w:rPr>
          <w:sz w:val="23"/>
          <w:szCs w:val="23"/>
        </w:rPr>
        <w:t xml:space="preserve">he Consultation Paper states </w:t>
      </w:r>
      <w:r>
        <w:rPr>
          <w:sz w:val="23"/>
          <w:szCs w:val="23"/>
        </w:rPr>
        <w:t>“</w:t>
      </w:r>
      <w:r w:rsidR="000E4332" w:rsidRPr="00AF181E">
        <w:rPr>
          <w:sz w:val="23"/>
          <w:szCs w:val="23"/>
        </w:rPr>
        <w:t xml:space="preserve">both Kilroot and Ballylumford power stations </w:t>
      </w:r>
      <w:r w:rsidR="000E4332" w:rsidRPr="00AF181E">
        <w:rPr>
          <w:rFonts w:cs="Calibri"/>
          <w:sz w:val="23"/>
          <w:szCs w:val="23"/>
          <w:lang w:val="en-US"/>
        </w:rPr>
        <w:t>contain units that are rarely run and deemed uncompetitive for most of the time. Because these units are uncompetitive, they have less opportunity to influence market prices and hence are less likely to exhibit market power</w:t>
      </w:r>
      <w:r>
        <w:rPr>
          <w:rFonts w:cs="Calibri"/>
          <w:sz w:val="23"/>
          <w:szCs w:val="23"/>
          <w:lang w:val="en-US"/>
        </w:rPr>
        <w:t>”</w:t>
      </w:r>
      <w:r w:rsidR="000E4332" w:rsidRPr="00AF181E">
        <w:rPr>
          <w:rFonts w:cs="Calibri"/>
          <w:sz w:val="23"/>
          <w:szCs w:val="23"/>
          <w:lang w:val="en-US"/>
        </w:rPr>
        <w:t xml:space="preserve">. </w:t>
      </w:r>
      <w:r w:rsidR="00220534" w:rsidRPr="00AF181E">
        <w:rPr>
          <w:rFonts w:cs="Calibri"/>
          <w:sz w:val="23"/>
          <w:szCs w:val="23"/>
          <w:lang w:val="en-US"/>
        </w:rPr>
        <w:t>This is consistent with</w:t>
      </w:r>
      <w:r w:rsidR="000E4332" w:rsidRPr="00AF181E">
        <w:rPr>
          <w:rFonts w:cs="Calibri"/>
          <w:sz w:val="23"/>
          <w:szCs w:val="23"/>
          <w:lang w:val="en-US"/>
        </w:rPr>
        <w:t xml:space="preserve"> </w:t>
      </w:r>
      <w:r>
        <w:rPr>
          <w:rFonts w:cs="Calibri"/>
          <w:sz w:val="23"/>
          <w:szCs w:val="23"/>
          <w:lang w:val="en-US"/>
        </w:rPr>
        <w:t xml:space="preserve">recent independent </w:t>
      </w:r>
      <w:r w:rsidR="000E4332" w:rsidRPr="00AF181E">
        <w:rPr>
          <w:rFonts w:cs="Calibri"/>
          <w:sz w:val="23"/>
          <w:szCs w:val="23"/>
          <w:lang w:val="en-US"/>
        </w:rPr>
        <w:t>analysis</w:t>
      </w:r>
      <w:r w:rsidR="00220534" w:rsidRPr="00AF181E">
        <w:rPr>
          <w:rFonts w:cs="Calibri"/>
          <w:sz w:val="23"/>
          <w:szCs w:val="23"/>
          <w:lang w:val="en-US"/>
        </w:rPr>
        <w:t xml:space="preserve"> undertaken</w:t>
      </w:r>
      <w:r w:rsidR="00A11FC1" w:rsidRPr="00AF181E">
        <w:rPr>
          <w:rFonts w:cs="Calibri"/>
          <w:sz w:val="23"/>
          <w:szCs w:val="23"/>
          <w:lang w:val="en-US"/>
        </w:rPr>
        <w:t xml:space="preserve"> on behalf of </w:t>
      </w:r>
      <w:r w:rsidR="00220534" w:rsidRPr="00AF181E">
        <w:rPr>
          <w:rFonts w:cs="Calibri"/>
          <w:sz w:val="23"/>
          <w:szCs w:val="23"/>
          <w:lang w:val="en-US"/>
        </w:rPr>
        <w:t>AES</w:t>
      </w:r>
      <w:r w:rsidR="000E4332" w:rsidRPr="00AF181E">
        <w:rPr>
          <w:rFonts w:cs="Calibri"/>
          <w:sz w:val="23"/>
          <w:szCs w:val="23"/>
          <w:lang w:val="en-US"/>
        </w:rPr>
        <w:t>.</w:t>
      </w:r>
    </w:p>
    <w:p w:rsidR="00FD73B3" w:rsidRPr="00AF181E" w:rsidRDefault="00FD73B3" w:rsidP="000E4332">
      <w:pPr>
        <w:autoSpaceDE w:val="0"/>
        <w:autoSpaceDN w:val="0"/>
        <w:adjustRightInd w:val="0"/>
        <w:spacing w:after="0" w:line="240" w:lineRule="auto"/>
        <w:jc w:val="both"/>
        <w:rPr>
          <w:rFonts w:cs="Calibri"/>
          <w:sz w:val="23"/>
          <w:szCs w:val="23"/>
          <w:lang w:val="en-US"/>
        </w:rPr>
      </w:pPr>
    </w:p>
    <w:p w:rsidR="00FD73B3" w:rsidRPr="00AF181E" w:rsidRDefault="00FD73B3" w:rsidP="000E4332">
      <w:pPr>
        <w:autoSpaceDE w:val="0"/>
        <w:autoSpaceDN w:val="0"/>
        <w:adjustRightInd w:val="0"/>
        <w:spacing w:after="0" w:line="240" w:lineRule="auto"/>
        <w:jc w:val="both"/>
        <w:rPr>
          <w:sz w:val="23"/>
          <w:szCs w:val="23"/>
        </w:rPr>
      </w:pPr>
      <w:r w:rsidRPr="00AF181E">
        <w:rPr>
          <w:rFonts w:cs="Calibri"/>
          <w:sz w:val="23"/>
          <w:szCs w:val="23"/>
          <w:lang w:val="en-US"/>
        </w:rPr>
        <w:t>For clarity</w:t>
      </w:r>
      <w:r w:rsidRPr="00AF181E">
        <w:rPr>
          <w:sz w:val="23"/>
          <w:szCs w:val="23"/>
        </w:rPr>
        <w:t xml:space="preserve"> the table below separates out the contracted and uncontracted </w:t>
      </w:r>
      <w:r w:rsidR="0014013E" w:rsidRPr="00AF181E">
        <w:rPr>
          <w:sz w:val="23"/>
          <w:szCs w:val="23"/>
        </w:rPr>
        <w:t xml:space="preserve">unconstrained </w:t>
      </w:r>
      <w:r w:rsidRPr="00AF181E">
        <w:rPr>
          <w:sz w:val="23"/>
          <w:szCs w:val="23"/>
        </w:rPr>
        <w:t xml:space="preserve">energy shareholdings. </w:t>
      </w:r>
    </w:p>
    <w:p w:rsidR="00FD73B3" w:rsidRPr="00AF181E" w:rsidRDefault="00FD73B3" w:rsidP="000E4332">
      <w:pPr>
        <w:autoSpaceDE w:val="0"/>
        <w:autoSpaceDN w:val="0"/>
        <w:adjustRightInd w:val="0"/>
        <w:spacing w:after="0" w:line="240" w:lineRule="auto"/>
        <w:jc w:val="both"/>
        <w:rPr>
          <w:sz w:val="23"/>
          <w:szCs w:val="23"/>
        </w:rPr>
      </w:pPr>
    </w:p>
    <w:tbl>
      <w:tblPr>
        <w:tblStyle w:val="TableGrid"/>
        <w:tblW w:w="0" w:type="auto"/>
        <w:tblInd w:w="1809" w:type="dxa"/>
        <w:tblLook w:val="04A0"/>
      </w:tblPr>
      <w:tblGrid>
        <w:gridCol w:w="2977"/>
        <w:gridCol w:w="2835"/>
      </w:tblGrid>
      <w:tr w:rsidR="00FD73B3" w:rsidRPr="00AF181E" w:rsidTr="0014013E">
        <w:tc>
          <w:tcPr>
            <w:tcW w:w="2977" w:type="dxa"/>
          </w:tcPr>
          <w:p w:rsidR="00FD73B3" w:rsidRPr="00AF181E" w:rsidRDefault="00FD73B3" w:rsidP="000E4332">
            <w:pPr>
              <w:autoSpaceDE w:val="0"/>
              <w:autoSpaceDN w:val="0"/>
              <w:adjustRightInd w:val="0"/>
              <w:jc w:val="both"/>
              <w:rPr>
                <w:rFonts w:cs="Calibri"/>
                <w:sz w:val="23"/>
                <w:szCs w:val="23"/>
                <w:lang w:val="en-US"/>
              </w:rPr>
            </w:pPr>
            <w:r w:rsidRPr="00AF181E">
              <w:rPr>
                <w:b/>
                <w:sz w:val="23"/>
                <w:szCs w:val="23"/>
              </w:rPr>
              <w:t>Owner</w:t>
            </w:r>
          </w:p>
        </w:tc>
        <w:tc>
          <w:tcPr>
            <w:tcW w:w="2835" w:type="dxa"/>
          </w:tcPr>
          <w:p w:rsidR="00FD73B3" w:rsidRPr="00AF181E" w:rsidRDefault="00BB2476" w:rsidP="000E4332">
            <w:pPr>
              <w:autoSpaceDE w:val="0"/>
              <w:autoSpaceDN w:val="0"/>
              <w:adjustRightInd w:val="0"/>
              <w:jc w:val="both"/>
              <w:rPr>
                <w:rFonts w:cs="Calibri"/>
                <w:sz w:val="23"/>
                <w:szCs w:val="23"/>
                <w:lang w:val="en-US"/>
              </w:rPr>
            </w:pPr>
            <w:r w:rsidRPr="00AF181E">
              <w:rPr>
                <w:b/>
                <w:sz w:val="23"/>
                <w:szCs w:val="23"/>
              </w:rPr>
              <w:t>2012 Post Acquisition</w:t>
            </w:r>
          </w:p>
        </w:tc>
      </w:tr>
      <w:tr w:rsidR="00FD73B3" w:rsidRPr="00AF181E" w:rsidTr="0014013E">
        <w:tc>
          <w:tcPr>
            <w:tcW w:w="2977" w:type="dxa"/>
          </w:tcPr>
          <w:p w:rsidR="00FD73B3" w:rsidRPr="00AF181E" w:rsidRDefault="00BB2476" w:rsidP="000E4332">
            <w:pPr>
              <w:autoSpaceDE w:val="0"/>
              <w:autoSpaceDN w:val="0"/>
              <w:adjustRightInd w:val="0"/>
              <w:jc w:val="both"/>
              <w:rPr>
                <w:rFonts w:cs="Calibri"/>
                <w:sz w:val="23"/>
                <w:szCs w:val="23"/>
                <w:lang w:val="en-US"/>
              </w:rPr>
            </w:pPr>
            <w:r w:rsidRPr="00AF181E">
              <w:rPr>
                <w:sz w:val="23"/>
                <w:szCs w:val="23"/>
              </w:rPr>
              <w:t>ESB PG</w:t>
            </w:r>
          </w:p>
        </w:tc>
        <w:tc>
          <w:tcPr>
            <w:tcW w:w="2835" w:type="dxa"/>
          </w:tcPr>
          <w:p w:rsidR="00FD73B3" w:rsidRPr="00AF181E" w:rsidRDefault="00BB2476" w:rsidP="0014013E">
            <w:pPr>
              <w:autoSpaceDE w:val="0"/>
              <w:autoSpaceDN w:val="0"/>
              <w:adjustRightInd w:val="0"/>
              <w:jc w:val="center"/>
              <w:rPr>
                <w:rFonts w:cs="Calibri"/>
                <w:sz w:val="23"/>
                <w:szCs w:val="23"/>
                <w:lang w:val="en-US"/>
              </w:rPr>
            </w:pPr>
            <w:r w:rsidRPr="00AF181E">
              <w:rPr>
                <w:rFonts w:cs="Calibri"/>
                <w:sz w:val="23"/>
                <w:szCs w:val="23"/>
                <w:lang w:val="en-US"/>
              </w:rPr>
              <w:t>29%</w:t>
            </w:r>
          </w:p>
        </w:tc>
      </w:tr>
      <w:tr w:rsidR="00FD73B3" w:rsidRPr="00AF181E" w:rsidTr="0014013E">
        <w:tc>
          <w:tcPr>
            <w:tcW w:w="2977" w:type="dxa"/>
          </w:tcPr>
          <w:p w:rsidR="00FD73B3" w:rsidRPr="00AF181E" w:rsidRDefault="00BB2476" w:rsidP="000E4332">
            <w:pPr>
              <w:autoSpaceDE w:val="0"/>
              <w:autoSpaceDN w:val="0"/>
              <w:adjustRightInd w:val="0"/>
              <w:jc w:val="both"/>
              <w:rPr>
                <w:rFonts w:cs="Calibri"/>
                <w:sz w:val="23"/>
                <w:szCs w:val="23"/>
                <w:lang w:val="en-US"/>
              </w:rPr>
            </w:pPr>
            <w:r w:rsidRPr="00AF181E">
              <w:rPr>
                <w:rFonts w:cs="Calibri"/>
                <w:sz w:val="23"/>
                <w:szCs w:val="23"/>
                <w:lang w:val="en-US"/>
              </w:rPr>
              <w:t>ESB I</w:t>
            </w:r>
          </w:p>
        </w:tc>
        <w:tc>
          <w:tcPr>
            <w:tcW w:w="2835" w:type="dxa"/>
          </w:tcPr>
          <w:p w:rsidR="00FD73B3" w:rsidRPr="00AF181E" w:rsidRDefault="00BB2476" w:rsidP="0014013E">
            <w:pPr>
              <w:autoSpaceDE w:val="0"/>
              <w:autoSpaceDN w:val="0"/>
              <w:adjustRightInd w:val="0"/>
              <w:jc w:val="center"/>
              <w:rPr>
                <w:rFonts w:cs="Calibri"/>
                <w:sz w:val="23"/>
                <w:szCs w:val="23"/>
                <w:lang w:val="en-US"/>
              </w:rPr>
            </w:pPr>
            <w:r w:rsidRPr="00AF181E">
              <w:rPr>
                <w:rFonts w:cs="Calibri"/>
                <w:sz w:val="23"/>
                <w:szCs w:val="23"/>
                <w:lang w:val="en-US"/>
              </w:rPr>
              <w:t>17%</w:t>
            </w:r>
          </w:p>
        </w:tc>
      </w:tr>
      <w:tr w:rsidR="00FD73B3" w:rsidRPr="00AF181E" w:rsidTr="0014013E">
        <w:tc>
          <w:tcPr>
            <w:tcW w:w="2977" w:type="dxa"/>
          </w:tcPr>
          <w:p w:rsidR="00FD73B3" w:rsidRPr="00AF181E" w:rsidRDefault="00BB2476" w:rsidP="000E4332">
            <w:pPr>
              <w:autoSpaceDE w:val="0"/>
              <w:autoSpaceDN w:val="0"/>
              <w:adjustRightInd w:val="0"/>
              <w:jc w:val="both"/>
              <w:rPr>
                <w:rFonts w:cs="Calibri"/>
                <w:sz w:val="23"/>
                <w:szCs w:val="23"/>
                <w:lang w:val="en-US"/>
              </w:rPr>
            </w:pPr>
            <w:r w:rsidRPr="00AF181E">
              <w:rPr>
                <w:rFonts w:cs="Calibri"/>
                <w:sz w:val="23"/>
                <w:szCs w:val="23"/>
                <w:lang w:val="en-US"/>
              </w:rPr>
              <w:t>GB I/C</w:t>
            </w:r>
          </w:p>
        </w:tc>
        <w:tc>
          <w:tcPr>
            <w:tcW w:w="2835" w:type="dxa"/>
          </w:tcPr>
          <w:p w:rsidR="00FD73B3" w:rsidRPr="00AF181E" w:rsidRDefault="00BB2476" w:rsidP="0014013E">
            <w:pPr>
              <w:autoSpaceDE w:val="0"/>
              <w:autoSpaceDN w:val="0"/>
              <w:adjustRightInd w:val="0"/>
              <w:jc w:val="center"/>
              <w:rPr>
                <w:rFonts w:cs="Calibri"/>
                <w:sz w:val="23"/>
                <w:szCs w:val="23"/>
                <w:lang w:val="en-US"/>
              </w:rPr>
            </w:pPr>
            <w:r w:rsidRPr="00AF181E">
              <w:rPr>
                <w:rFonts w:cs="Calibri"/>
                <w:sz w:val="23"/>
                <w:szCs w:val="23"/>
                <w:lang w:val="en-US"/>
              </w:rPr>
              <w:t>11%</w:t>
            </w:r>
          </w:p>
        </w:tc>
      </w:tr>
      <w:tr w:rsidR="00FD73B3" w:rsidRPr="00AF181E" w:rsidTr="0014013E">
        <w:tc>
          <w:tcPr>
            <w:tcW w:w="2977" w:type="dxa"/>
          </w:tcPr>
          <w:p w:rsidR="00FD73B3" w:rsidRPr="00AF181E" w:rsidRDefault="00BB2476" w:rsidP="000E4332">
            <w:pPr>
              <w:autoSpaceDE w:val="0"/>
              <w:autoSpaceDN w:val="0"/>
              <w:adjustRightInd w:val="0"/>
              <w:jc w:val="both"/>
              <w:rPr>
                <w:rFonts w:cs="Calibri"/>
                <w:sz w:val="23"/>
                <w:szCs w:val="23"/>
                <w:lang w:val="en-US"/>
              </w:rPr>
            </w:pPr>
            <w:r w:rsidRPr="00AF181E">
              <w:rPr>
                <w:rFonts w:cs="Calibri"/>
                <w:sz w:val="23"/>
                <w:szCs w:val="23"/>
                <w:lang w:val="en-US"/>
              </w:rPr>
              <w:t>Bord Gais</w:t>
            </w:r>
          </w:p>
        </w:tc>
        <w:tc>
          <w:tcPr>
            <w:tcW w:w="2835" w:type="dxa"/>
          </w:tcPr>
          <w:p w:rsidR="00FD73B3" w:rsidRPr="00AF181E" w:rsidRDefault="00BB2476" w:rsidP="0014013E">
            <w:pPr>
              <w:autoSpaceDE w:val="0"/>
              <w:autoSpaceDN w:val="0"/>
              <w:adjustRightInd w:val="0"/>
              <w:jc w:val="center"/>
              <w:rPr>
                <w:rFonts w:cs="Calibri"/>
                <w:sz w:val="23"/>
                <w:szCs w:val="23"/>
                <w:lang w:val="en-US"/>
              </w:rPr>
            </w:pPr>
            <w:r w:rsidRPr="00AF181E">
              <w:rPr>
                <w:rFonts w:cs="Calibri"/>
                <w:sz w:val="23"/>
                <w:szCs w:val="23"/>
                <w:lang w:val="en-US"/>
              </w:rPr>
              <w:t>9%</w:t>
            </w:r>
          </w:p>
        </w:tc>
      </w:tr>
      <w:tr w:rsidR="00FD73B3" w:rsidRPr="00AF181E" w:rsidTr="0014013E">
        <w:tc>
          <w:tcPr>
            <w:tcW w:w="2977" w:type="dxa"/>
          </w:tcPr>
          <w:p w:rsidR="00FD73B3" w:rsidRPr="00AF181E" w:rsidRDefault="00BB2476" w:rsidP="000E4332">
            <w:pPr>
              <w:autoSpaceDE w:val="0"/>
              <w:autoSpaceDN w:val="0"/>
              <w:adjustRightInd w:val="0"/>
              <w:jc w:val="both"/>
              <w:rPr>
                <w:rFonts w:cs="Calibri"/>
                <w:sz w:val="23"/>
                <w:szCs w:val="23"/>
                <w:lang w:val="en-US"/>
              </w:rPr>
            </w:pPr>
            <w:r w:rsidRPr="00AF181E">
              <w:rPr>
                <w:rFonts w:cs="Calibri"/>
                <w:sz w:val="23"/>
                <w:szCs w:val="23"/>
                <w:lang w:val="en-US"/>
              </w:rPr>
              <w:t>Viridian</w:t>
            </w:r>
          </w:p>
        </w:tc>
        <w:tc>
          <w:tcPr>
            <w:tcW w:w="2835" w:type="dxa"/>
          </w:tcPr>
          <w:p w:rsidR="00FD73B3" w:rsidRPr="00AF181E" w:rsidRDefault="00BB2476" w:rsidP="0014013E">
            <w:pPr>
              <w:autoSpaceDE w:val="0"/>
              <w:autoSpaceDN w:val="0"/>
              <w:adjustRightInd w:val="0"/>
              <w:jc w:val="center"/>
              <w:rPr>
                <w:rFonts w:cs="Calibri"/>
                <w:sz w:val="23"/>
                <w:szCs w:val="23"/>
                <w:lang w:val="en-US"/>
              </w:rPr>
            </w:pPr>
            <w:r w:rsidRPr="00AF181E">
              <w:rPr>
                <w:rFonts w:cs="Calibri"/>
                <w:sz w:val="23"/>
                <w:szCs w:val="23"/>
                <w:lang w:val="en-US"/>
              </w:rPr>
              <w:t>7%</w:t>
            </w:r>
          </w:p>
        </w:tc>
      </w:tr>
      <w:tr w:rsidR="00FD73B3" w:rsidRPr="00AF181E" w:rsidTr="0014013E">
        <w:tc>
          <w:tcPr>
            <w:tcW w:w="2977" w:type="dxa"/>
          </w:tcPr>
          <w:p w:rsidR="00FD73B3" w:rsidRPr="00AF181E" w:rsidRDefault="00BB2476" w:rsidP="000E4332">
            <w:pPr>
              <w:autoSpaceDE w:val="0"/>
              <w:autoSpaceDN w:val="0"/>
              <w:adjustRightInd w:val="0"/>
              <w:jc w:val="both"/>
              <w:rPr>
                <w:rFonts w:cs="Calibri"/>
                <w:sz w:val="23"/>
                <w:szCs w:val="23"/>
                <w:lang w:val="en-US"/>
              </w:rPr>
            </w:pPr>
            <w:r w:rsidRPr="00AF181E">
              <w:rPr>
                <w:rFonts w:cs="Calibri"/>
                <w:sz w:val="23"/>
                <w:szCs w:val="23"/>
                <w:lang w:val="en-US"/>
              </w:rPr>
              <w:t>PPB (contracted)</w:t>
            </w:r>
          </w:p>
        </w:tc>
        <w:tc>
          <w:tcPr>
            <w:tcW w:w="2835" w:type="dxa"/>
          </w:tcPr>
          <w:p w:rsidR="00FD73B3" w:rsidRPr="00AF181E" w:rsidRDefault="00BB2476" w:rsidP="0014013E">
            <w:pPr>
              <w:autoSpaceDE w:val="0"/>
              <w:autoSpaceDN w:val="0"/>
              <w:adjustRightInd w:val="0"/>
              <w:jc w:val="center"/>
              <w:rPr>
                <w:rFonts w:cs="Calibri"/>
                <w:sz w:val="23"/>
                <w:szCs w:val="23"/>
                <w:lang w:val="en-US"/>
              </w:rPr>
            </w:pPr>
            <w:r w:rsidRPr="00AF181E">
              <w:rPr>
                <w:rFonts w:cs="Calibri"/>
                <w:sz w:val="23"/>
                <w:szCs w:val="23"/>
                <w:lang w:val="en-US"/>
              </w:rPr>
              <w:t>5%</w:t>
            </w:r>
          </w:p>
        </w:tc>
      </w:tr>
      <w:tr w:rsidR="00FD73B3" w:rsidRPr="00AF181E" w:rsidTr="0014013E">
        <w:tc>
          <w:tcPr>
            <w:tcW w:w="2977" w:type="dxa"/>
          </w:tcPr>
          <w:p w:rsidR="00FD73B3" w:rsidRPr="00AF181E" w:rsidRDefault="00BB2476" w:rsidP="000E4332">
            <w:pPr>
              <w:autoSpaceDE w:val="0"/>
              <w:autoSpaceDN w:val="0"/>
              <w:adjustRightInd w:val="0"/>
              <w:jc w:val="both"/>
              <w:rPr>
                <w:rFonts w:cs="Calibri"/>
                <w:sz w:val="23"/>
                <w:szCs w:val="23"/>
                <w:lang w:val="en-US"/>
              </w:rPr>
            </w:pPr>
            <w:r w:rsidRPr="00AF181E">
              <w:rPr>
                <w:rFonts w:cs="Calibri"/>
                <w:sz w:val="23"/>
                <w:szCs w:val="23"/>
                <w:lang w:val="en-US"/>
              </w:rPr>
              <w:t>AES (uncontracted)</w:t>
            </w:r>
          </w:p>
        </w:tc>
        <w:tc>
          <w:tcPr>
            <w:tcW w:w="2835" w:type="dxa"/>
          </w:tcPr>
          <w:p w:rsidR="00FD73B3" w:rsidRPr="00AF181E" w:rsidRDefault="00BB2476" w:rsidP="0014013E">
            <w:pPr>
              <w:autoSpaceDE w:val="0"/>
              <w:autoSpaceDN w:val="0"/>
              <w:adjustRightInd w:val="0"/>
              <w:jc w:val="center"/>
              <w:rPr>
                <w:rFonts w:cs="Calibri"/>
                <w:sz w:val="23"/>
                <w:szCs w:val="23"/>
                <w:lang w:val="en-US"/>
              </w:rPr>
            </w:pPr>
            <w:r w:rsidRPr="00AF181E">
              <w:rPr>
                <w:rFonts w:cs="Calibri"/>
                <w:sz w:val="23"/>
                <w:szCs w:val="23"/>
                <w:lang w:val="en-US"/>
              </w:rPr>
              <w:t>3%</w:t>
            </w:r>
          </w:p>
        </w:tc>
      </w:tr>
      <w:tr w:rsidR="00BB2476" w:rsidRPr="00AF181E" w:rsidTr="0014013E">
        <w:tc>
          <w:tcPr>
            <w:tcW w:w="2977" w:type="dxa"/>
          </w:tcPr>
          <w:p w:rsidR="00BB2476" w:rsidRPr="00AF181E" w:rsidRDefault="00BB2476" w:rsidP="000E4332">
            <w:pPr>
              <w:autoSpaceDE w:val="0"/>
              <w:autoSpaceDN w:val="0"/>
              <w:adjustRightInd w:val="0"/>
              <w:jc w:val="both"/>
              <w:rPr>
                <w:rFonts w:cs="Calibri"/>
                <w:sz w:val="23"/>
                <w:szCs w:val="23"/>
                <w:lang w:val="en-US"/>
              </w:rPr>
            </w:pPr>
            <w:r w:rsidRPr="00AF181E">
              <w:rPr>
                <w:rFonts w:cs="Calibri"/>
                <w:sz w:val="23"/>
                <w:szCs w:val="23"/>
                <w:lang w:val="en-US"/>
              </w:rPr>
              <w:t>Other</w:t>
            </w:r>
          </w:p>
        </w:tc>
        <w:tc>
          <w:tcPr>
            <w:tcW w:w="2835" w:type="dxa"/>
          </w:tcPr>
          <w:p w:rsidR="00BB2476" w:rsidRPr="00AF181E" w:rsidRDefault="00BB2476" w:rsidP="0014013E">
            <w:pPr>
              <w:autoSpaceDE w:val="0"/>
              <w:autoSpaceDN w:val="0"/>
              <w:adjustRightInd w:val="0"/>
              <w:jc w:val="center"/>
              <w:rPr>
                <w:rFonts w:cs="Calibri"/>
                <w:sz w:val="23"/>
                <w:szCs w:val="23"/>
                <w:lang w:val="en-US"/>
              </w:rPr>
            </w:pPr>
            <w:r w:rsidRPr="00AF181E">
              <w:rPr>
                <w:rFonts w:cs="Calibri"/>
                <w:sz w:val="23"/>
                <w:szCs w:val="23"/>
                <w:lang w:val="en-US"/>
              </w:rPr>
              <w:t>19%</w:t>
            </w:r>
          </w:p>
        </w:tc>
      </w:tr>
    </w:tbl>
    <w:p w:rsidR="00FD73B3" w:rsidRPr="00AF181E" w:rsidRDefault="00FD73B3" w:rsidP="000E4332">
      <w:pPr>
        <w:autoSpaceDE w:val="0"/>
        <w:autoSpaceDN w:val="0"/>
        <w:adjustRightInd w:val="0"/>
        <w:spacing w:after="0" w:line="240" w:lineRule="auto"/>
        <w:jc w:val="both"/>
        <w:rPr>
          <w:rFonts w:cs="Calibri"/>
          <w:sz w:val="23"/>
          <w:szCs w:val="23"/>
          <w:lang w:val="en-US"/>
        </w:rPr>
      </w:pPr>
    </w:p>
    <w:p w:rsidR="0014013E" w:rsidRPr="00AF181E" w:rsidRDefault="00414DB9" w:rsidP="0014013E">
      <w:pPr>
        <w:autoSpaceDE w:val="0"/>
        <w:autoSpaceDN w:val="0"/>
        <w:adjustRightInd w:val="0"/>
        <w:spacing w:after="0" w:line="240" w:lineRule="auto"/>
        <w:jc w:val="both"/>
        <w:rPr>
          <w:sz w:val="23"/>
          <w:szCs w:val="23"/>
        </w:rPr>
      </w:pPr>
      <w:r>
        <w:rPr>
          <w:sz w:val="23"/>
          <w:szCs w:val="23"/>
        </w:rPr>
        <w:t>The</w:t>
      </w:r>
      <w:r w:rsidR="0014013E" w:rsidRPr="00AF181E">
        <w:rPr>
          <w:sz w:val="23"/>
          <w:szCs w:val="23"/>
        </w:rPr>
        <w:t xml:space="preserve"> above table </w:t>
      </w:r>
      <w:r w:rsidR="00F663FD">
        <w:rPr>
          <w:sz w:val="23"/>
          <w:szCs w:val="23"/>
        </w:rPr>
        <w:t xml:space="preserve">indicates that </w:t>
      </w:r>
      <w:r w:rsidR="0014013E" w:rsidRPr="00AF181E">
        <w:rPr>
          <w:sz w:val="23"/>
          <w:szCs w:val="23"/>
        </w:rPr>
        <w:t xml:space="preserve">AES </w:t>
      </w:r>
      <w:r w:rsidR="00F663FD">
        <w:rPr>
          <w:sz w:val="23"/>
          <w:szCs w:val="23"/>
        </w:rPr>
        <w:t xml:space="preserve">will </w:t>
      </w:r>
      <w:r w:rsidR="0014013E" w:rsidRPr="00AF181E">
        <w:rPr>
          <w:sz w:val="23"/>
          <w:szCs w:val="23"/>
        </w:rPr>
        <w:t>ha</w:t>
      </w:r>
      <w:r w:rsidR="00F663FD">
        <w:rPr>
          <w:sz w:val="23"/>
          <w:szCs w:val="23"/>
        </w:rPr>
        <w:t>ve</w:t>
      </w:r>
      <w:r w:rsidR="0014013E" w:rsidRPr="00AF181E">
        <w:rPr>
          <w:sz w:val="23"/>
          <w:szCs w:val="23"/>
        </w:rPr>
        <w:t xml:space="preserve"> commercial control over 3% of the 2012 forecast energy and therefore </w:t>
      </w:r>
      <w:r w:rsidR="000222F8">
        <w:rPr>
          <w:sz w:val="23"/>
          <w:szCs w:val="23"/>
        </w:rPr>
        <w:t>is very unlikely to be able to</w:t>
      </w:r>
      <w:r w:rsidR="0014013E" w:rsidRPr="00AF181E">
        <w:rPr>
          <w:sz w:val="23"/>
          <w:szCs w:val="23"/>
        </w:rPr>
        <w:t xml:space="preserve"> exercise market power. As far as AES is aware the above figures were based on commodity prices and exchange rates in June 2010. It is worth noting that AES</w:t>
      </w:r>
      <w:r w:rsidR="00E21A29">
        <w:rPr>
          <w:sz w:val="23"/>
          <w:szCs w:val="23"/>
        </w:rPr>
        <w:t>’s recent independent</w:t>
      </w:r>
      <w:r w:rsidR="0014013E" w:rsidRPr="00AF181E">
        <w:rPr>
          <w:sz w:val="23"/>
          <w:szCs w:val="23"/>
        </w:rPr>
        <w:t xml:space="preserve"> forecast</w:t>
      </w:r>
      <w:r w:rsidR="002C6683" w:rsidRPr="00AF181E">
        <w:rPr>
          <w:sz w:val="23"/>
          <w:szCs w:val="23"/>
        </w:rPr>
        <w:t xml:space="preserve"> indicated that AES would not earn any infra-marginal rent from the uncontracted units </w:t>
      </w:r>
      <w:r w:rsidR="00F663FD">
        <w:rPr>
          <w:sz w:val="23"/>
          <w:szCs w:val="23"/>
        </w:rPr>
        <w:t>in</w:t>
      </w:r>
      <w:r w:rsidR="002C6683" w:rsidRPr="00AF181E">
        <w:rPr>
          <w:sz w:val="23"/>
          <w:szCs w:val="23"/>
        </w:rPr>
        <w:t xml:space="preserve"> 2012. </w:t>
      </w:r>
    </w:p>
    <w:p w:rsidR="002C6683" w:rsidRPr="00AF181E" w:rsidRDefault="002C6683" w:rsidP="0014013E">
      <w:pPr>
        <w:autoSpaceDE w:val="0"/>
        <w:autoSpaceDN w:val="0"/>
        <w:adjustRightInd w:val="0"/>
        <w:spacing w:after="0" w:line="240" w:lineRule="auto"/>
        <w:jc w:val="both"/>
        <w:rPr>
          <w:sz w:val="23"/>
          <w:szCs w:val="23"/>
        </w:rPr>
      </w:pPr>
    </w:p>
    <w:p w:rsidR="002C6683" w:rsidRPr="00AF181E" w:rsidRDefault="002C6683" w:rsidP="0014013E">
      <w:pPr>
        <w:autoSpaceDE w:val="0"/>
        <w:autoSpaceDN w:val="0"/>
        <w:adjustRightInd w:val="0"/>
        <w:spacing w:after="0" w:line="240" w:lineRule="auto"/>
        <w:jc w:val="both"/>
        <w:rPr>
          <w:sz w:val="23"/>
          <w:szCs w:val="23"/>
        </w:rPr>
      </w:pPr>
      <w:r w:rsidRPr="00AF181E">
        <w:rPr>
          <w:sz w:val="23"/>
          <w:szCs w:val="23"/>
        </w:rPr>
        <w:t xml:space="preserve">The Consultation Paper also highlighted that even in a ‘low coal’ scenario with coal prices modelled at 50% of their forecast values AES </w:t>
      </w:r>
      <w:r w:rsidR="00F663FD">
        <w:rPr>
          <w:sz w:val="23"/>
          <w:szCs w:val="23"/>
        </w:rPr>
        <w:t xml:space="preserve">would only provide </w:t>
      </w:r>
      <w:r w:rsidRPr="00AF181E">
        <w:rPr>
          <w:sz w:val="23"/>
          <w:szCs w:val="23"/>
        </w:rPr>
        <w:t xml:space="preserve">13% of the SEM generation. </w:t>
      </w:r>
    </w:p>
    <w:p w:rsidR="0014013E" w:rsidRPr="00AF181E" w:rsidRDefault="0014013E" w:rsidP="0014013E">
      <w:pPr>
        <w:autoSpaceDE w:val="0"/>
        <w:autoSpaceDN w:val="0"/>
        <w:adjustRightInd w:val="0"/>
        <w:spacing w:after="0" w:line="240" w:lineRule="auto"/>
        <w:jc w:val="both"/>
        <w:rPr>
          <w:sz w:val="23"/>
          <w:szCs w:val="23"/>
        </w:rPr>
      </w:pPr>
    </w:p>
    <w:p w:rsidR="0014013E" w:rsidRPr="00AF181E" w:rsidRDefault="0014013E" w:rsidP="0014013E">
      <w:pPr>
        <w:autoSpaceDE w:val="0"/>
        <w:autoSpaceDN w:val="0"/>
        <w:adjustRightInd w:val="0"/>
        <w:spacing w:after="0" w:line="240" w:lineRule="auto"/>
        <w:jc w:val="both"/>
        <w:rPr>
          <w:sz w:val="23"/>
          <w:szCs w:val="23"/>
        </w:rPr>
      </w:pPr>
      <w:r w:rsidRPr="00AF181E">
        <w:rPr>
          <w:sz w:val="23"/>
          <w:szCs w:val="23"/>
        </w:rPr>
        <w:t xml:space="preserve">The local Northern Ireland position is </w:t>
      </w:r>
      <w:r w:rsidR="00CC0334">
        <w:rPr>
          <w:sz w:val="23"/>
          <w:szCs w:val="23"/>
        </w:rPr>
        <w:t>addressed</w:t>
      </w:r>
      <w:r w:rsidRPr="00AF181E">
        <w:rPr>
          <w:sz w:val="23"/>
          <w:szCs w:val="23"/>
        </w:rPr>
        <w:t xml:space="preserve"> under </w:t>
      </w:r>
      <w:r w:rsidR="00F663FD">
        <w:rPr>
          <w:sz w:val="23"/>
          <w:szCs w:val="23"/>
        </w:rPr>
        <w:t>S</w:t>
      </w:r>
      <w:r w:rsidRPr="00AF181E">
        <w:rPr>
          <w:sz w:val="23"/>
          <w:szCs w:val="23"/>
        </w:rPr>
        <w:t>ection</w:t>
      </w:r>
      <w:r w:rsidR="00F663FD">
        <w:rPr>
          <w:sz w:val="23"/>
          <w:szCs w:val="23"/>
        </w:rPr>
        <w:t xml:space="preserve"> 3.2</w:t>
      </w:r>
      <w:r w:rsidRPr="00AF181E">
        <w:rPr>
          <w:sz w:val="23"/>
          <w:szCs w:val="23"/>
        </w:rPr>
        <w:t xml:space="preserve"> on Local Market Power below.</w:t>
      </w:r>
    </w:p>
    <w:p w:rsidR="000E4332" w:rsidRPr="00AF181E" w:rsidRDefault="000E4332" w:rsidP="000E4332">
      <w:pPr>
        <w:autoSpaceDE w:val="0"/>
        <w:autoSpaceDN w:val="0"/>
        <w:adjustRightInd w:val="0"/>
        <w:spacing w:after="0" w:line="240" w:lineRule="auto"/>
        <w:jc w:val="both"/>
        <w:rPr>
          <w:sz w:val="23"/>
          <w:szCs w:val="23"/>
        </w:rPr>
      </w:pPr>
    </w:p>
    <w:p w:rsidR="001E70A7" w:rsidRPr="00EE3E31" w:rsidRDefault="009F6016" w:rsidP="00AB1C8E">
      <w:pPr>
        <w:pStyle w:val="Default"/>
        <w:jc w:val="both"/>
        <w:rPr>
          <w:rFonts w:asciiTheme="minorHAnsi" w:hAnsiTheme="minorHAnsi"/>
          <w:b/>
        </w:rPr>
      </w:pPr>
      <w:r w:rsidRPr="00EE3E31">
        <w:rPr>
          <w:rFonts w:asciiTheme="minorHAnsi" w:hAnsiTheme="minorHAnsi"/>
          <w:b/>
        </w:rPr>
        <w:t xml:space="preserve">3.1.3 </w:t>
      </w:r>
      <w:r w:rsidR="00EE3E31">
        <w:rPr>
          <w:rFonts w:asciiTheme="minorHAnsi" w:hAnsiTheme="minorHAnsi"/>
          <w:b/>
        </w:rPr>
        <w:tab/>
      </w:r>
      <w:r w:rsidR="001E70A7" w:rsidRPr="00EE3E31">
        <w:rPr>
          <w:rFonts w:asciiTheme="minorHAnsi" w:hAnsiTheme="minorHAnsi"/>
          <w:b/>
        </w:rPr>
        <w:t>HHI Analysis</w:t>
      </w:r>
    </w:p>
    <w:p w:rsidR="001E70A7" w:rsidRPr="00AF181E" w:rsidRDefault="001E70A7" w:rsidP="00AB1C8E">
      <w:pPr>
        <w:pStyle w:val="Default"/>
        <w:jc w:val="both"/>
        <w:rPr>
          <w:rFonts w:asciiTheme="minorHAnsi" w:hAnsiTheme="minorHAnsi"/>
          <w:b/>
          <w:sz w:val="23"/>
          <w:szCs w:val="23"/>
        </w:rPr>
      </w:pPr>
    </w:p>
    <w:p w:rsidR="00BB0934" w:rsidRDefault="00BB0934" w:rsidP="00AB1C8E">
      <w:pPr>
        <w:pStyle w:val="Default"/>
        <w:jc w:val="both"/>
        <w:rPr>
          <w:rFonts w:asciiTheme="minorHAnsi" w:hAnsiTheme="minorHAnsi"/>
          <w:sz w:val="23"/>
          <w:szCs w:val="23"/>
        </w:rPr>
      </w:pPr>
      <w:r>
        <w:rPr>
          <w:rFonts w:asciiTheme="minorHAnsi" w:hAnsiTheme="minorHAnsi"/>
          <w:sz w:val="23"/>
          <w:szCs w:val="23"/>
        </w:rPr>
        <w:t>In the table below t</w:t>
      </w:r>
      <w:r w:rsidR="001E70A7" w:rsidRPr="00AF181E">
        <w:rPr>
          <w:rFonts w:asciiTheme="minorHAnsi" w:hAnsiTheme="minorHAnsi"/>
          <w:sz w:val="23"/>
          <w:szCs w:val="23"/>
        </w:rPr>
        <w:t xml:space="preserve">he </w:t>
      </w:r>
      <w:r w:rsidR="001F127B" w:rsidRPr="00AF181E">
        <w:rPr>
          <w:rFonts w:asciiTheme="minorHAnsi" w:hAnsiTheme="minorHAnsi"/>
          <w:sz w:val="23"/>
          <w:szCs w:val="23"/>
        </w:rPr>
        <w:t>Herfindahl-Hirschman Index (“</w:t>
      </w:r>
      <w:r w:rsidR="001E70A7" w:rsidRPr="00AF181E">
        <w:rPr>
          <w:rFonts w:asciiTheme="minorHAnsi" w:hAnsiTheme="minorHAnsi"/>
          <w:sz w:val="23"/>
          <w:szCs w:val="23"/>
        </w:rPr>
        <w:t>HHI</w:t>
      </w:r>
      <w:r w:rsidR="001F127B" w:rsidRPr="00AF181E">
        <w:rPr>
          <w:rFonts w:asciiTheme="minorHAnsi" w:hAnsiTheme="minorHAnsi"/>
          <w:sz w:val="23"/>
          <w:szCs w:val="23"/>
        </w:rPr>
        <w:t>”), a standard measure of market concentration,</w:t>
      </w:r>
      <w:r w:rsidR="001E70A7" w:rsidRPr="00AF181E">
        <w:rPr>
          <w:rFonts w:asciiTheme="minorHAnsi" w:hAnsiTheme="minorHAnsi"/>
          <w:sz w:val="23"/>
          <w:szCs w:val="23"/>
        </w:rPr>
        <w:t xml:space="preserve"> indicates that</w:t>
      </w:r>
      <w:r w:rsidR="001F127B" w:rsidRPr="00AF181E">
        <w:rPr>
          <w:rFonts w:asciiTheme="minorHAnsi" w:hAnsiTheme="minorHAnsi"/>
          <w:sz w:val="23"/>
          <w:szCs w:val="23"/>
        </w:rPr>
        <w:t xml:space="preserve"> the position pre and post acquisition is virtually unchanged for both capacity and energy</w:t>
      </w:r>
      <w:r>
        <w:rPr>
          <w:rFonts w:asciiTheme="minorHAnsi" w:hAnsiTheme="minorHAnsi"/>
          <w:sz w:val="23"/>
          <w:szCs w:val="23"/>
        </w:rPr>
        <w:t xml:space="preserve"> under</w:t>
      </w:r>
      <w:r w:rsidR="001F127B" w:rsidRPr="00AF181E">
        <w:rPr>
          <w:rFonts w:asciiTheme="minorHAnsi" w:hAnsiTheme="minorHAnsi"/>
          <w:sz w:val="23"/>
          <w:szCs w:val="23"/>
        </w:rPr>
        <w:t xml:space="preserve"> Scenario 2</w:t>
      </w:r>
      <w:r w:rsidR="00F663FD">
        <w:rPr>
          <w:rFonts w:asciiTheme="minorHAnsi" w:hAnsiTheme="minorHAnsi"/>
          <w:sz w:val="23"/>
          <w:szCs w:val="23"/>
        </w:rPr>
        <w:t xml:space="preserve"> (contracted and uncontracted units separated)</w:t>
      </w:r>
      <w:r>
        <w:rPr>
          <w:rFonts w:asciiTheme="minorHAnsi" w:hAnsiTheme="minorHAnsi"/>
          <w:sz w:val="23"/>
          <w:szCs w:val="23"/>
        </w:rPr>
        <w:t xml:space="preserve">. </w:t>
      </w:r>
    </w:p>
    <w:p w:rsidR="00BB0934" w:rsidRDefault="00BB0934" w:rsidP="00AB1C8E">
      <w:pPr>
        <w:pStyle w:val="Default"/>
        <w:jc w:val="both"/>
        <w:rPr>
          <w:rFonts w:asciiTheme="minorHAnsi" w:hAnsiTheme="minorHAnsi"/>
          <w:sz w:val="23"/>
          <w:szCs w:val="23"/>
        </w:rPr>
      </w:pPr>
    </w:p>
    <w:p w:rsidR="001E70A7" w:rsidRPr="00AF181E" w:rsidRDefault="00BB0934" w:rsidP="00AB1C8E">
      <w:pPr>
        <w:pStyle w:val="Default"/>
        <w:jc w:val="both"/>
        <w:rPr>
          <w:rFonts w:asciiTheme="minorHAnsi" w:hAnsiTheme="minorHAnsi"/>
          <w:sz w:val="23"/>
          <w:szCs w:val="23"/>
        </w:rPr>
      </w:pPr>
      <w:r>
        <w:rPr>
          <w:rFonts w:asciiTheme="minorHAnsi" w:hAnsiTheme="minorHAnsi"/>
          <w:sz w:val="23"/>
          <w:szCs w:val="23"/>
        </w:rPr>
        <w:t>While AES does not believe it</w:t>
      </w:r>
      <w:r w:rsidR="001F127B" w:rsidRPr="00AF181E">
        <w:rPr>
          <w:rFonts w:asciiTheme="minorHAnsi" w:hAnsiTheme="minorHAnsi"/>
          <w:sz w:val="23"/>
          <w:szCs w:val="23"/>
        </w:rPr>
        <w:t xml:space="preserve"> appropriate to consider market power on the basis of Scenario 1 (</w:t>
      </w:r>
      <w:r w:rsidR="00F663FD">
        <w:rPr>
          <w:rFonts w:asciiTheme="minorHAnsi" w:hAnsiTheme="minorHAnsi"/>
          <w:sz w:val="23"/>
          <w:szCs w:val="23"/>
        </w:rPr>
        <w:t>contracted and uncontracted units combined</w:t>
      </w:r>
      <w:r w:rsidR="001F127B" w:rsidRPr="00AF181E">
        <w:rPr>
          <w:rFonts w:asciiTheme="minorHAnsi" w:hAnsiTheme="minorHAnsi"/>
          <w:sz w:val="23"/>
          <w:szCs w:val="23"/>
        </w:rPr>
        <w:t xml:space="preserve">) there is only a slight increase (12%) in </w:t>
      </w:r>
      <w:r>
        <w:rPr>
          <w:rFonts w:asciiTheme="minorHAnsi" w:hAnsiTheme="minorHAnsi"/>
          <w:sz w:val="23"/>
          <w:szCs w:val="23"/>
        </w:rPr>
        <w:t xml:space="preserve">the HHI by </w:t>
      </w:r>
      <w:r w:rsidR="001F127B" w:rsidRPr="00AF181E">
        <w:rPr>
          <w:rFonts w:asciiTheme="minorHAnsi" w:hAnsiTheme="minorHAnsi"/>
          <w:sz w:val="23"/>
          <w:szCs w:val="23"/>
        </w:rPr>
        <w:t xml:space="preserve">capacity </w:t>
      </w:r>
      <w:r>
        <w:rPr>
          <w:rFonts w:asciiTheme="minorHAnsi" w:hAnsiTheme="minorHAnsi"/>
          <w:sz w:val="23"/>
          <w:szCs w:val="23"/>
        </w:rPr>
        <w:t>under</w:t>
      </w:r>
      <w:r w:rsidR="001F127B" w:rsidRPr="00AF181E">
        <w:rPr>
          <w:rFonts w:asciiTheme="minorHAnsi" w:hAnsiTheme="minorHAnsi"/>
          <w:sz w:val="23"/>
          <w:szCs w:val="23"/>
        </w:rPr>
        <w:t xml:space="preserve"> Scenario 1</w:t>
      </w:r>
      <w:r>
        <w:rPr>
          <w:rFonts w:asciiTheme="minorHAnsi" w:hAnsiTheme="minorHAnsi"/>
          <w:sz w:val="23"/>
          <w:szCs w:val="23"/>
        </w:rPr>
        <w:t xml:space="preserve"> which </w:t>
      </w:r>
      <w:r w:rsidR="00787F16">
        <w:rPr>
          <w:rFonts w:asciiTheme="minorHAnsi" w:hAnsiTheme="minorHAnsi"/>
          <w:sz w:val="23"/>
          <w:szCs w:val="23"/>
        </w:rPr>
        <w:t>is still well within the moderately concentrated band (below 1,000 is considered unconcentrated and above 1,800 is considered highly concentrated).</w:t>
      </w:r>
    </w:p>
    <w:p w:rsidR="001E70A7" w:rsidRDefault="001E70A7" w:rsidP="00AB1C8E">
      <w:pPr>
        <w:pStyle w:val="Default"/>
        <w:jc w:val="both"/>
        <w:rPr>
          <w:rFonts w:asciiTheme="minorHAnsi" w:hAnsiTheme="minorHAnsi"/>
          <w:sz w:val="23"/>
          <w:szCs w:val="23"/>
        </w:rPr>
      </w:pPr>
    </w:p>
    <w:p w:rsidR="00F663FD" w:rsidRPr="00AF181E" w:rsidRDefault="00F663FD" w:rsidP="00AB1C8E">
      <w:pPr>
        <w:pStyle w:val="Default"/>
        <w:jc w:val="both"/>
        <w:rPr>
          <w:rFonts w:asciiTheme="minorHAnsi" w:hAnsiTheme="minorHAnsi"/>
          <w:sz w:val="23"/>
          <w:szCs w:val="23"/>
        </w:rPr>
      </w:pPr>
    </w:p>
    <w:tbl>
      <w:tblPr>
        <w:tblStyle w:val="TableGrid"/>
        <w:tblW w:w="0" w:type="auto"/>
        <w:tblInd w:w="1809" w:type="dxa"/>
        <w:tblLook w:val="04A0"/>
      </w:tblPr>
      <w:tblGrid>
        <w:gridCol w:w="2127"/>
        <w:gridCol w:w="1842"/>
        <w:gridCol w:w="1843"/>
      </w:tblGrid>
      <w:tr w:rsidR="001F127B" w:rsidRPr="00AF181E" w:rsidTr="001F127B">
        <w:tc>
          <w:tcPr>
            <w:tcW w:w="2127" w:type="dxa"/>
          </w:tcPr>
          <w:p w:rsidR="001F127B" w:rsidRPr="00AF181E" w:rsidRDefault="001F127B" w:rsidP="00AB1C8E">
            <w:pPr>
              <w:pStyle w:val="Default"/>
              <w:jc w:val="both"/>
              <w:rPr>
                <w:rFonts w:asciiTheme="minorHAnsi" w:hAnsiTheme="minorHAnsi"/>
                <w:b/>
                <w:sz w:val="23"/>
                <w:szCs w:val="23"/>
              </w:rPr>
            </w:pPr>
            <w:r w:rsidRPr="00AF181E">
              <w:rPr>
                <w:rFonts w:asciiTheme="minorHAnsi" w:hAnsiTheme="minorHAnsi"/>
                <w:b/>
                <w:sz w:val="23"/>
                <w:szCs w:val="23"/>
              </w:rPr>
              <w:lastRenderedPageBreak/>
              <w:t>HHI by Capacity</w:t>
            </w:r>
          </w:p>
        </w:tc>
        <w:tc>
          <w:tcPr>
            <w:tcW w:w="1842" w:type="dxa"/>
          </w:tcPr>
          <w:p w:rsidR="001F127B" w:rsidRPr="00AF181E" w:rsidRDefault="001F127B" w:rsidP="001F127B">
            <w:pPr>
              <w:pStyle w:val="Default"/>
              <w:jc w:val="center"/>
              <w:rPr>
                <w:rFonts w:asciiTheme="minorHAnsi" w:hAnsiTheme="minorHAnsi"/>
                <w:b/>
                <w:sz w:val="23"/>
                <w:szCs w:val="23"/>
              </w:rPr>
            </w:pPr>
            <w:r w:rsidRPr="00AF181E">
              <w:rPr>
                <w:rFonts w:asciiTheme="minorHAnsi" w:hAnsiTheme="minorHAnsi"/>
                <w:b/>
                <w:sz w:val="23"/>
                <w:szCs w:val="23"/>
              </w:rPr>
              <w:t>SEM</w:t>
            </w:r>
          </w:p>
        </w:tc>
        <w:tc>
          <w:tcPr>
            <w:tcW w:w="1843" w:type="dxa"/>
          </w:tcPr>
          <w:p w:rsidR="001F127B" w:rsidRPr="00AF181E" w:rsidRDefault="001F127B" w:rsidP="001F127B">
            <w:pPr>
              <w:pStyle w:val="Default"/>
              <w:jc w:val="center"/>
              <w:rPr>
                <w:rFonts w:asciiTheme="minorHAnsi" w:hAnsiTheme="minorHAnsi"/>
                <w:b/>
                <w:sz w:val="23"/>
                <w:szCs w:val="23"/>
              </w:rPr>
            </w:pPr>
            <w:r w:rsidRPr="00AF181E">
              <w:rPr>
                <w:rFonts w:asciiTheme="minorHAnsi" w:hAnsiTheme="minorHAnsi"/>
                <w:b/>
                <w:sz w:val="23"/>
                <w:szCs w:val="23"/>
              </w:rPr>
              <w:t>% Change</w:t>
            </w:r>
          </w:p>
        </w:tc>
      </w:tr>
      <w:tr w:rsidR="001F127B" w:rsidRPr="00AF181E" w:rsidTr="001F127B">
        <w:tc>
          <w:tcPr>
            <w:tcW w:w="2127" w:type="dxa"/>
          </w:tcPr>
          <w:p w:rsidR="001F127B" w:rsidRPr="00AF181E" w:rsidRDefault="001F127B" w:rsidP="00AB1C8E">
            <w:pPr>
              <w:pStyle w:val="Default"/>
              <w:jc w:val="both"/>
              <w:rPr>
                <w:rFonts w:asciiTheme="minorHAnsi" w:hAnsiTheme="minorHAnsi"/>
                <w:sz w:val="23"/>
                <w:szCs w:val="23"/>
              </w:rPr>
            </w:pPr>
            <w:r w:rsidRPr="00AF181E">
              <w:rPr>
                <w:rFonts w:asciiTheme="minorHAnsi" w:hAnsiTheme="minorHAnsi"/>
                <w:sz w:val="23"/>
                <w:szCs w:val="23"/>
              </w:rPr>
              <w:t>Pre Acquisition</w:t>
            </w:r>
          </w:p>
        </w:tc>
        <w:tc>
          <w:tcPr>
            <w:tcW w:w="1842" w:type="dxa"/>
          </w:tcPr>
          <w:p w:rsidR="001F127B" w:rsidRPr="00AF181E" w:rsidRDefault="001F127B" w:rsidP="001F127B">
            <w:pPr>
              <w:pStyle w:val="Default"/>
              <w:jc w:val="center"/>
              <w:rPr>
                <w:rFonts w:asciiTheme="minorHAnsi" w:hAnsiTheme="minorHAnsi"/>
                <w:sz w:val="23"/>
                <w:szCs w:val="23"/>
              </w:rPr>
            </w:pPr>
            <w:r w:rsidRPr="00AF181E">
              <w:rPr>
                <w:rFonts w:asciiTheme="minorHAnsi" w:hAnsiTheme="minorHAnsi"/>
                <w:sz w:val="23"/>
                <w:szCs w:val="23"/>
              </w:rPr>
              <w:t>1,404</w:t>
            </w:r>
          </w:p>
        </w:tc>
        <w:tc>
          <w:tcPr>
            <w:tcW w:w="1843" w:type="dxa"/>
          </w:tcPr>
          <w:p w:rsidR="001F127B" w:rsidRPr="00AF181E" w:rsidRDefault="001F127B" w:rsidP="001F127B">
            <w:pPr>
              <w:pStyle w:val="Default"/>
              <w:jc w:val="center"/>
              <w:rPr>
                <w:rFonts w:asciiTheme="minorHAnsi" w:hAnsiTheme="minorHAnsi"/>
                <w:sz w:val="23"/>
                <w:szCs w:val="23"/>
              </w:rPr>
            </w:pPr>
          </w:p>
        </w:tc>
      </w:tr>
      <w:tr w:rsidR="001F127B" w:rsidRPr="00AF181E" w:rsidTr="001F127B">
        <w:tc>
          <w:tcPr>
            <w:tcW w:w="2127" w:type="dxa"/>
          </w:tcPr>
          <w:p w:rsidR="001F127B" w:rsidRPr="00AF181E" w:rsidRDefault="001F127B" w:rsidP="00AB1C8E">
            <w:pPr>
              <w:pStyle w:val="Default"/>
              <w:jc w:val="both"/>
              <w:rPr>
                <w:rFonts w:asciiTheme="minorHAnsi" w:hAnsiTheme="minorHAnsi"/>
                <w:sz w:val="23"/>
                <w:szCs w:val="23"/>
              </w:rPr>
            </w:pPr>
            <w:r w:rsidRPr="00AF181E">
              <w:rPr>
                <w:rFonts w:asciiTheme="minorHAnsi" w:hAnsiTheme="minorHAnsi" w:cs="Calibri-Bold"/>
                <w:bCs/>
                <w:sz w:val="23"/>
                <w:szCs w:val="23"/>
                <w:lang w:val="en-US"/>
              </w:rPr>
              <w:t>Scenario 2</w:t>
            </w:r>
          </w:p>
        </w:tc>
        <w:tc>
          <w:tcPr>
            <w:tcW w:w="1842" w:type="dxa"/>
          </w:tcPr>
          <w:p w:rsidR="001F127B" w:rsidRPr="00AF181E" w:rsidRDefault="001F127B" w:rsidP="001F127B">
            <w:pPr>
              <w:pStyle w:val="Default"/>
              <w:jc w:val="center"/>
              <w:rPr>
                <w:rFonts w:asciiTheme="minorHAnsi" w:hAnsiTheme="minorHAnsi"/>
                <w:sz w:val="23"/>
                <w:szCs w:val="23"/>
              </w:rPr>
            </w:pPr>
            <w:r w:rsidRPr="00AF181E">
              <w:rPr>
                <w:rFonts w:asciiTheme="minorHAnsi" w:hAnsiTheme="minorHAnsi"/>
                <w:sz w:val="23"/>
                <w:szCs w:val="23"/>
              </w:rPr>
              <w:t>1,436</w:t>
            </w:r>
          </w:p>
        </w:tc>
        <w:tc>
          <w:tcPr>
            <w:tcW w:w="1843" w:type="dxa"/>
          </w:tcPr>
          <w:p w:rsidR="001F127B" w:rsidRPr="00AF181E" w:rsidRDefault="001F127B" w:rsidP="001F127B">
            <w:pPr>
              <w:pStyle w:val="Default"/>
              <w:jc w:val="center"/>
              <w:rPr>
                <w:rFonts w:asciiTheme="minorHAnsi" w:hAnsiTheme="minorHAnsi"/>
                <w:sz w:val="23"/>
                <w:szCs w:val="23"/>
              </w:rPr>
            </w:pPr>
            <w:r w:rsidRPr="00AF181E">
              <w:rPr>
                <w:rFonts w:asciiTheme="minorHAnsi" w:hAnsiTheme="minorHAnsi"/>
                <w:sz w:val="23"/>
                <w:szCs w:val="23"/>
              </w:rPr>
              <w:t>2%</w:t>
            </w:r>
          </w:p>
        </w:tc>
      </w:tr>
      <w:tr w:rsidR="001F127B" w:rsidRPr="00AF181E" w:rsidTr="001F127B">
        <w:tc>
          <w:tcPr>
            <w:tcW w:w="2127" w:type="dxa"/>
          </w:tcPr>
          <w:p w:rsidR="001F127B" w:rsidRPr="00AF181E" w:rsidRDefault="00BB0934" w:rsidP="00AB1C8E">
            <w:pPr>
              <w:pStyle w:val="Default"/>
              <w:jc w:val="both"/>
              <w:rPr>
                <w:rFonts w:asciiTheme="minorHAnsi" w:hAnsiTheme="minorHAnsi"/>
                <w:sz w:val="23"/>
                <w:szCs w:val="23"/>
              </w:rPr>
            </w:pPr>
            <w:r>
              <w:rPr>
                <w:rFonts w:asciiTheme="minorHAnsi" w:hAnsiTheme="minorHAnsi"/>
                <w:sz w:val="23"/>
                <w:szCs w:val="23"/>
              </w:rPr>
              <w:t>Scenario 1</w:t>
            </w:r>
          </w:p>
        </w:tc>
        <w:tc>
          <w:tcPr>
            <w:tcW w:w="1842" w:type="dxa"/>
          </w:tcPr>
          <w:p w:rsidR="001F127B" w:rsidRPr="00AF181E" w:rsidRDefault="00BB0934" w:rsidP="001F127B">
            <w:pPr>
              <w:pStyle w:val="Default"/>
              <w:jc w:val="center"/>
              <w:rPr>
                <w:rFonts w:asciiTheme="minorHAnsi" w:hAnsiTheme="minorHAnsi"/>
                <w:sz w:val="23"/>
                <w:szCs w:val="23"/>
              </w:rPr>
            </w:pPr>
            <w:r>
              <w:rPr>
                <w:rFonts w:asciiTheme="minorHAnsi" w:hAnsiTheme="minorHAnsi"/>
                <w:sz w:val="23"/>
                <w:szCs w:val="23"/>
              </w:rPr>
              <w:t>1,574</w:t>
            </w:r>
          </w:p>
        </w:tc>
        <w:tc>
          <w:tcPr>
            <w:tcW w:w="1843" w:type="dxa"/>
          </w:tcPr>
          <w:p w:rsidR="001F127B" w:rsidRPr="00AF181E" w:rsidRDefault="00BB0934" w:rsidP="001F127B">
            <w:pPr>
              <w:pStyle w:val="Default"/>
              <w:jc w:val="center"/>
              <w:rPr>
                <w:rFonts w:asciiTheme="minorHAnsi" w:hAnsiTheme="minorHAnsi"/>
                <w:sz w:val="23"/>
                <w:szCs w:val="23"/>
              </w:rPr>
            </w:pPr>
            <w:r>
              <w:rPr>
                <w:rFonts w:asciiTheme="minorHAnsi" w:hAnsiTheme="minorHAnsi"/>
                <w:sz w:val="23"/>
                <w:szCs w:val="23"/>
              </w:rPr>
              <w:t>12%</w:t>
            </w:r>
          </w:p>
        </w:tc>
      </w:tr>
      <w:tr w:rsidR="00BB0934" w:rsidRPr="00AF181E" w:rsidTr="001F127B">
        <w:tc>
          <w:tcPr>
            <w:tcW w:w="2127" w:type="dxa"/>
          </w:tcPr>
          <w:p w:rsidR="00BB0934" w:rsidRPr="00AF181E" w:rsidRDefault="00BB0934" w:rsidP="00AB1C8E">
            <w:pPr>
              <w:pStyle w:val="Default"/>
              <w:jc w:val="both"/>
              <w:rPr>
                <w:rFonts w:asciiTheme="minorHAnsi" w:hAnsiTheme="minorHAnsi"/>
                <w:b/>
                <w:sz w:val="23"/>
                <w:szCs w:val="23"/>
              </w:rPr>
            </w:pPr>
          </w:p>
        </w:tc>
        <w:tc>
          <w:tcPr>
            <w:tcW w:w="1842" w:type="dxa"/>
          </w:tcPr>
          <w:p w:rsidR="00BB0934" w:rsidRPr="00AF181E" w:rsidRDefault="00BB0934" w:rsidP="001F127B">
            <w:pPr>
              <w:pStyle w:val="Default"/>
              <w:jc w:val="center"/>
              <w:rPr>
                <w:rFonts w:asciiTheme="minorHAnsi" w:hAnsiTheme="minorHAnsi"/>
                <w:sz w:val="23"/>
                <w:szCs w:val="23"/>
              </w:rPr>
            </w:pPr>
          </w:p>
        </w:tc>
        <w:tc>
          <w:tcPr>
            <w:tcW w:w="1843" w:type="dxa"/>
          </w:tcPr>
          <w:p w:rsidR="00BB0934" w:rsidRPr="00AF181E" w:rsidRDefault="00BB0934" w:rsidP="001F127B">
            <w:pPr>
              <w:pStyle w:val="Default"/>
              <w:jc w:val="center"/>
              <w:rPr>
                <w:rFonts w:asciiTheme="minorHAnsi" w:hAnsiTheme="minorHAnsi"/>
                <w:sz w:val="23"/>
                <w:szCs w:val="23"/>
              </w:rPr>
            </w:pPr>
          </w:p>
        </w:tc>
      </w:tr>
      <w:tr w:rsidR="001F127B" w:rsidRPr="00AF181E" w:rsidTr="001F127B">
        <w:tc>
          <w:tcPr>
            <w:tcW w:w="2127" w:type="dxa"/>
          </w:tcPr>
          <w:p w:rsidR="001F127B" w:rsidRPr="00AF181E" w:rsidRDefault="001F127B" w:rsidP="00AB1C8E">
            <w:pPr>
              <w:pStyle w:val="Default"/>
              <w:jc w:val="both"/>
              <w:rPr>
                <w:rFonts w:asciiTheme="minorHAnsi" w:hAnsiTheme="minorHAnsi"/>
                <w:b/>
                <w:sz w:val="23"/>
                <w:szCs w:val="23"/>
              </w:rPr>
            </w:pPr>
            <w:r w:rsidRPr="00AF181E">
              <w:rPr>
                <w:rFonts w:asciiTheme="minorHAnsi" w:hAnsiTheme="minorHAnsi"/>
                <w:b/>
                <w:sz w:val="23"/>
                <w:szCs w:val="23"/>
              </w:rPr>
              <w:t>HHI by Energy</w:t>
            </w:r>
          </w:p>
        </w:tc>
        <w:tc>
          <w:tcPr>
            <w:tcW w:w="1842" w:type="dxa"/>
          </w:tcPr>
          <w:p w:rsidR="001F127B" w:rsidRPr="00AF181E" w:rsidRDefault="001F127B" w:rsidP="001F127B">
            <w:pPr>
              <w:pStyle w:val="Default"/>
              <w:jc w:val="center"/>
              <w:rPr>
                <w:rFonts w:asciiTheme="minorHAnsi" w:hAnsiTheme="minorHAnsi"/>
                <w:sz w:val="23"/>
                <w:szCs w:val="23"/>
              </w:rPr>
            </w:pPr>
          </w:p>
        </w:tc>
        <w:tc>
          <w:tcPr>
            <w:tcW w:w="1843" w:type="dxa"/>
          </w:tcPr>
          <w:p w:rsidR="001F127B" w:rsidRPr="00AF181E" w:rsidRDefault="001F127B" w:rsidP="001F127B">
            <w:pPr>
              <w:pStyle w:val="Default"/>
              <w:jc w:val="center"/>
              <w:rPr>
                <w:rFonts w:asciiTheme="minorHAnsi" w:hAnsiTheme="minorHAnsi"/>
                <w:sz w:val="23"/>
                <w:szCs w:val="23"/>
              </w:rPr>
            </w:pPr>
          </w:p>
        </w:tc>
      </w:tr>
      <w:tr w:rsidR="001F127B" w:rsidRPr="00AF181E" w:rsidTr="001F127B">
        <w:tc>
          <w:tcPr>
            <w:tcW w:w="2127" w:type="dxa"/>
          </w:tcPr>
          <w:p w:rsidR="001F127B" w:rsidRPr="00AF181E" w:rsidRDefault="001F127B" w:rsidP="00AB1C8E">
            <w:pPr>
              <w:pStyle w:val="Default"/>
              <w:jc w:val="both"/>
              <w:rPr>
                <w:rFonts w:asciiTheme="minorHAnsi" w:hAnsiTheme="minorHAnsi"/>
                <w:sz w:val="23"/>
                <w:szCs w:val="23"/>
              </w:rPr>
            </w:pPr>
            <w:r w:rsidRPr="00AF181E">
              <w:rPr>
                <w:rFonts w:asciiTheme="minorHAnsi" w:hAnsiTheme="minorHAnsi"/>
                <w:sz w:val="23"/>
                <w:szCs w:val="23"/>
              </w:rPr>
              <w:t>Pre Acquisition</w:t>
            </w:r>
          </w:p>
        </w:tc>
        <w:tc>
          <w:tcPr>
            <w:tcW w:w="1842" w:type="dxa"/>
          </w:tcPr>
          <w:p w:rsidR="001F127B" w:rsidRPr="00AF181E" w:rsidRDefault="001F127B" w:rsidP="001F127B">
            <w:pPr>
              <w:pStyle w:val="Default"/>
              <w:jc w:val="center"/>
              <w:rPr>
                <w:rFonts w:asciiTheme="minorHAnsi" w:hAnsiTheme="minorHAnsi"/>
                <w:sz w:val="23"/>
                <w:szCs w:val="23"/>
              </w:rPr>
            </w:pPr>
            <w:r w:rsidRPr="00AF181E">
              <w:rPr>
                <w:rFonts w:asciiTheme="minorHAnsi" w:hAnsiTheme="minorHAnsi"/>
                <w:sz w:val="23"/>
                <w:szCs w:val="23"/>
              </w:rPr>
              <w:t>1,620</w:t>
            </w:r>
          </w:p>
        </w:tc>
        <w:tc>
          <w:tcPr>
            <w:tcW w:w="1843" w:type="dxa"/>
          </w:tcPr>
          <w:p w:rsidR="001F127B" w:rsidRPr="00AF181E" w:rsidRDefault="001F127B" w:rsidP="001F127B">
            <w:pPr>
              <w:pStyle w:val="Default"/>
              <w:jc w:val="center"/>
              <w:rPr>
                <w:rFonts w:asciiTheme="minorHAnsi" w:hAnsiTheme="minorHAnsi"/>
                <w:sz w:val="23"/>
                <w:szCs w:val="23"/>
              </w:rPr>
            </w:pPr>
          </w:p>
        </w:tc>
      </w:tr>
      <w:tr w:rsidR="001F127B" w:rsidRPr="00AF181E" w:rsidTr="001F127B">
        <w:tc>
          <w:tcPr>
            <w:tcW w:w="2127" w:type="dxa"/>
          </w:tcPr>
          <w:p w:rsidR="001F127B" w:rsidRPr="00AF181E" w:rsidRDefault="001F127B" w:rsidP="00AB1C8E">
            <w:pPr>
              <w:pStyle w:val="Default"/>
              <w:jc w:val="both"/>
              <w:rPr>
                <w:rFonts w:asciiTheme="minorHAnsi" w:hAnsiTheme="minorHAnsi"/>
                <w:sz w:val="23"/>
                <w:szCs w:val="23"/>
              </w:rPr>
            </w:pPr>
            <w:r w:rsidRPr="00AF181E">
              <w:rPr>
                <w:rFonts w:asciiTheme="minorHAnsi" w:hAnsiTheme="minorHAnsi" w:cs="Calibri-Bold"/>
                <w:bCs/>
                <w:sz w:val="23"/>
                <w:szCs w:val="23"/>
                <w:lang w:val="en-US"/>
              </w:rPr>
              <w:t>Scenario 2</w:t>
            </w:r>
          </w:p>
        </w:tc>
        <w:tc>
          <w:tcPr>
            <w:tcW w:w="1842" w:type="dxa"/>
          </w:tcPr>
          <w:p w:rsidR="001F127B" w:rsidRPr="00AF181E" w:rsidRDefault="001F127B" w:rsidP="001F127B">
            <w:pPr>
              <w:pStyle w:val="Default"/>
              <w:jc w:val="center"/>
              <w:rPr>
                <w:rFonts w:asciiTheme="minorHAnsi" w:hAnsiTheme="minorHAnsi"/>
                <w:sz w:val="23"/>
                <w:szCs w:val="23"/>
              </w:rPr>
            </w:pPr>
            <w:r w:rsidRPr="00AF181E">
              <w:rPr>
                <w:rFonts w:asciiTheme="minorHAnsi" w:hAnsiTheme="minorHAnsi"/>
                <w:sz w:val="23"/>
                <w:szCs w:val="23"/>
              </w:rPr>
              <w:t>1,620</w:t>
            </w:r>
          </w:p>
        </w:tc>
        <w:tc>
          <w:tcPr>
            <w:tcW w:w="1843" w:type="dxa"/>
          </w:tcPr>
          <w:p w:rsidR="001F127B" w:rsidRPr="00AF181E" w:rsidRDefault="001F127B" w:rsidP="001F127B">
            <w:pPr>
              <w:pStyle w:val="Default"/>
              <w:jc w:val="center"/>
              <w:rPr>
                <w:rFonts w:asciiTheme="minorHAnsi" w:hAnsiTheme="minorHAnsi"/>
                <w:sz w:val="23"/>
                <w:szCs w:val="23"/>
              </w:rPr>
            </w:pPr>
            <w:r w:rsidRPr="00AF181E">
              <w:rPr>
                <w:rFonts w:asciiTheme="minorHAnsi" w:hAnsiTheme="minorHAnsi"/>
                <w:sz w:val="23"/>
                <w:szCs w:val="23"/>
              </w:rPr>
              <w:t>0%</w:t>
            </w:r>
          </w:p>
        </w:tc>
      </w:tr>
      <w:tr w:rsidR="00BB0934" w:rsidRPr="00AF181E" w:rsidTr="001F127B">
        <w:tc>
          <w:tcPr>
            <w:tcW w:w="2127" w:type="dxa"/>
          </w:tcPr>
          <w:p w:rsidR="00BB0934" w:rsidRPr="00AF181E" w:rsidRDefault="00BB0934" w:rsidP="00AB1C8E">
            <w:pPr>
              <w:pStyle w:val="Default"/>
              <w:jc w:val="both"/>
              <w:rPr>
                <w:rFonts w:asciiTheme="minorHAnsi" w:hAnsiTheme="minorHAnsi" w:cs="Calibri-Bold"/>
                <w:bCs/>
                <w:sz w:val="23"/>
                <w:szCs w:val="23"/>
                <w:lang w:val="en-US"/>
              </w:rPr>
            </w:pPr>
            <w:r>
              <w:rPr>
                <w:rFonts w:asciiTheme="minorHAnsi" w:hAnsiTheme="minorHAnsi"/>
                <w:sz w:val="23"/>
                <w:szCs w:val="23"/>
              </w:rPr>
              <w:t>Scenario 1</w:t>
            </w:r>
          </w:p>
        </w:tc>
        <w:tc>
          <w:tcPr>
            <w:tcW w:w="1842" w:type="dxa"/>
          </w:tcPr>
          <w:p w:rsidR="00BB0934" w:rsidRPr="00AF181E" w:rsidRDefault="00BB0934" w:rsidP="001F127B">
            <w:pPr>
              <w:pStyle w:val="Default"/>
              <w:jc w:val="center"/>
              <w:rPr>
                <w:rFonts w:asciiTheme="minorHAnsi" w:hAnsiTheme="minorHAnsi"/>
                <w:sz w:val="23"/>
                <w:szCs w:val="23"/>
              </w:rPr>
            </w:pPr>
            <w:r>
              <w:rPr>
                <w:rFonts w:asciiTheme="minorHAnsi" w:hAnsiTheme="minorHAnsi"/>
                <w:sz w:val="23"/>
                <w:szCs w:val="23"/>
              </w:rPr>
              <w:t>1,654</w:t>
            </w:r>
          </w:p>
        </w:tc>
        <w:tc>
          <w:tcPr>
            <w:tcW w:w="1843" w:type="dxa"/>
          </w:tcPr>
          <w:p w:rsidR="00BB0934" w:rsidRPr="00AF181E" w:rsidRDefault="00BB0934" w:rsidP="001F127B">
            <w:pPr>
              <w:pStyle w:val="Default"/>
              <w:jc w:val="center"/>
              <w:rPr>
                <w:rFonts w:asciiTheme="minorHAnsi" w:hAnsiTheme="minorHAnsi"/>
                <w:sz w:val="23"/>
                <w:szCs w:val="23"/>
              </w:rPr>
            </w:pPr>
            <w:r>
              <w:rPr>
                <w:rFonts w:asciiTheme="minorHAnsi" w:hAnsiTheme="minorHAnsi"/>
                <w:sz w:val="23"/>
                <w:szCs w:val="23"/>
              </w:rPr>
              <w:t>2%</w:t>
            </w:r>
          </w:p>
        </w:tc>
      </w:tr>
    </w:tbl>
    <w:p w:rsidR="001E70A7" w:rsidRPr="00AF181E" w:rsidRDefault="001E70A7" w:rsidP="00AB1C8E">
      <w:pPr>
        <w:pStyle w:val="Default"/>
        <w:jc w:val="both"/>
        <w:rPr>
          <w:rFonts w:asciiTheme="minorHAnsi" w:hAnsiTheme="minorHAnsi"/>
          <w:sz w:val="23"/>
          <w:szCs w:val="23"/>
        </w:rPr>
      </w:pPr>
    </w:p>
    <w:p w:rsidR="001F127B" w:rsidRPr="00AF181E" w:rsidRDefault="001F127B" w:rsidP="00AB1C8E">
      <w:pPr>
        <w:pStyle w:val="Default"/>
        <w:jc w:val="both"/>
        <w:rPr>
          <w:rFonts w:asciiTheme="minorHAnsi" w:hAnsiTheme="minorHAnsi"/>
          <w:sz w:val="23"/>
          <w:szCs w:val="23"/>
        </w:rPr>
      </w:pPr>
    </w:p>
    <w:p w:rsidR="00A34F18" w:rsidRPr="00EE3E31" w:rsidRDefault="009F6016" w:rsidP="00AB1C8E">
      <w:pPr>
        <w:pStyle w:val="Default"/>
        <w:jc w:val="both"/>
        <w:rPr>
          <w:rFonts w:asciiTheme="minorHAnsi" w:hAnsiTheme="minorHAnsi"/>
          <w:b/>
          <w:sz w:val="26"/>
          <w:szCs w:val="26"/>
        </w:rPr>
      </w:pPr>
      <w:r w:rsidRPr="00EE3E31">
        <w:rPr>
          <w:rFonts w:asciiTheme="minorHAnsi" w:hAnsiTheme="minorHAnsi"/>
          <w:b/>
          <w:sz w:val="26"/>
          <w:szCs w:val="26"/>
        </w:rPr>
        <w:t xml:space="preserve">3.2 </w:t>
      </w:r>
      <w:r w:rsidR="00EE3E31">
        <w:rPr>
          <w:rFonts w:asciiTheme="minorHAnsi" w:hAnsiTheme="minorHAnsi"/>
          <w:b/>
          <w:sz w:val="26"/>
          <w:szCs w:val="26"/>
        </w:rPr>
        <w:tab/>
      </w:r>
      <w:r w:rsidR="009965B6" w:rsidRPr="00EE3E31">
        <w:rPr>
          <w:rFonts w:asciiTheme="minorHAnsi" w:hAnsiTheme="minorHAnsi"/>
          <w:b/>
          <w:sz w:val="26"/>
          <w:szCs w:val="26"/>
        </w:rPr>
        <w:t>Local</w:t>
      </w:r>
      <w:r w:rsidR="00F13BB1" w:rsidRPr="00EE3E31">
        <w:rPr>
          <w:rFonts w:asciiTheme="minorHAnsi" w:hAnsiTheme="minorHAnsi"/>
          <w:b/>
          <w:sz w:val="26"/>
          <w:szCs w:val="26"/>
        </w:rPr>
        <w:t xml:space="preserve"> </w:t>
      </w:r>
      <w:r w:rsidR="009965B6" w:rsidRPr="00EE3E31">
        <w:rPr>
          <w:rFonts w:asciiTheme="minorHAnsi" w:hAnsiTheme="minorHAnsi"/>
          <w:b/>
          <w:sz w:val="26"/>
          <w:szCs w:val="26"/>
        </w:rPr>
        <w:t>M</w:t>
      </w:r>
      <w:r w:rsidR="00F13BB1" w:rsidRPr="00EE3E31">
        <w:rPr>
          <w:rFonts w:asciiTheme="minorHAnsi" w:hAnsiTheme="minorHAnsi"/>
          <w:b/>
          <w:sz w:val="26"/>
          <w:szCs w:val="26"/>
        </w:rPr>
        <w:t xml:space="preserve">arket </w:t>
      </w:r>
      <w:r w:rsidR="009965B6" w:rsidRPr="00EE3E31">
        <w:rPr>
          <w:rFonts w:asciiTheme="minorHAnsi" w:hAnsiTheme="minorHAnsi"/>
          <w:b/>
          <w:sz w:val="26"/>
          <w:szCs w:val="26"/>
        </w:rPr>
        <w:t>P</w:t>
      </w:r>
      <w:r w:rsidR="00F13BB1" w:rsidRPr="00EE3E31">
        <w:rPr>
          <w:rFonts w:asciiTheme="minorHAnsi" w:hAnsiTheme="minorHAnsi"/>
          <w:b/>
          <w:sz w:val="26"/>
          <w:szCs w:val="26"/>
        </w:rPr>
        <w:t>ower in Northern Ireland</w:t>
      </w:r>
      <w:r w:rsidR="00D253E3" w:rsidRPr="00EE3E31">
        <w:rPr>
          <w:rFonts w:asciiTheme="minorHAnsi" w:hAnsiTheme="minorHAnsi"/>
          <w:b/>
          <w:sz w:val="26"/>
          <w:szCs w:val="26"/>
        </w:rPr>
        <w:t xml:space="preserve"> </w:t>
      </w:r>
    </w:p>
    <w:p w:rsidR="00AB1C8E" w:rsidRPr="00AF181E" w:rsidRDefault="00AB1C8E" w:rsidP="00AB1C8E">
      <w:pPr>
        <w:pStyle w:val="Default"/>
        <w:jc w:val="both"/>
        <w:rPr>
          <w:rFonts w:asciiTheme="minorHAnsi" w:hAnsiTheme="minorHAnsi"/>
          <w:sz w:val="23"/>
          <w:szCs w:val="23"/>
        </w:rPr>
      </w:pPr>
    </w:p>
    <w:p w:rsidR="00D80B62" w:rsidRPr="00EE3E31" w:rsidRDefault="00EE3E31" w:rsidP="00AB1C8E">
      <w:pPr>
        <w:pStyle w:val="Default"/>
        <w:jc w:val="both"/>
        <w:rPr>
          <w:rFonts w:asciiTheme="minorHAnsi" w:hAnsiTheme="minorHAnsi"/>
          <w:b/>
        </w:rPr>
      </w:pPr>
      <w:r w:rsidRPr="00EE3E31">
        <w:rPr>
          <w:rFonts w:asciiTheme="minorHAnsi" w:hAnsiTheme="minorHAnsi"/>
          <w:b/>
        </w:rPr>
        <w:t xml:space="preserve">3.2.1 </w:t>
      </w:r>
      <w:r>
        <w:rPr>
          <w:rFonts w:asciiTheme="minorHAnsi" w:hAnsiTheme="minorHAnsi"/>
          <w:b/>
        </w:rPr>
        <w:tab/>
      </w:r>
      <w:r w:rsidR="00D80B62" w:rsidRPr="00EE3E31">
        <w:rPr>
          <w:rFonts w:asciiTheme="minorHAnsi" w:hAnsiTheme="minorHAnsi"/>
          <w:b/>
        </w:rPr>
        <w:t>Ability to Manipulate Constraint Payments</w:t>
      </w:r>
    </w:p>
    <w:p w:rsidR="00D80B62" w:rsidRPr="00EE3E31" w:rsidRDefault="00D80B62" w:rsidP="00AB1C8E">
      <w:pPr>
        <w:pStyle w:val="Default"/>
        <w:jc w:val="both"/>
        <w:rPr>
          <w:rFonts w:asciiTheme="minorHAnsi" w:hAnsiTheme="minorHAnsi"/>
          <w:b/>
        </w:rPr>
      </w:pPr>
    </w:p>
    <w:p w:rsidR="00D80B62" w:rsidRPr="00AF181E" w:rsidRDefault="00AF1E9E" w:rsidP="0030627C">
      <w:pPr>
        <w:pStyle w:val="BodyText"/>
        <w:rPr>
          <w:rFonts w:asciiTheme="minorHAnsi" w:hAnsiTheme="minorHAnsi" w:cs="TTE1A42DC8t00"/>
          <w:sz w:val="23"/>
          <w:szCs w:val="23"/>
          <w:lang w:val="en-US"/>
        </w:rPr>
      </w:pPr>
      <w:r w:rsidRPr="00AF181E">
        <w:rPr>
          <w:rFonts w:asciiTheme="minorHAnsi" w:hAnsiTheme="minorHAnsi" w:cs="TTE1A42DC8t00"/>
          <w:sz w:val="23"/>
          <w:szCs w:val="23"/>
        </w:rPr>
        <w:t xml:space="preserve">The Consultation Paper highlights the transmission constraint between Northern Ireland and the Republic of Ireland and the fact that the </w:t>
      </w:r>
      <w:r w:rsidR="00CC0334">
        <w:rPr>
          <w:rFonts w:asciiTheme="minorHAnsi" w:hAnsiTheme="minorHAnsi" w:cs="TTE1A42DC8t00"/>
          <w:sz w:val="23"/>
          <w:szCs w:val="23"/>
        </w:rPr>
        <w:t>S</w:t>
      </w:r>
      <w:r w:rsidRPr="00AF181E">
        <w:rPr>
          <w:rFonts w:asciiTheme="minorHAnsi" w:hAnsiTheme="minorHAnsi" w:cs="TTE1A42DC8t00"/>
          <w:sz w:val="23"/>
          <w:szCs w:val="23"/>
        </w:rPr>
        <w:t xml:space="preserve">ystem </w:t>
      </w:r>
      <w:r w:rsidR="00CC0334">
        <w:rPr>
          <w:rFonts w:asciiTheme="minorHAnsi" w:hAnsiTheme="minorHAnsi" w:cs="TTE1A42DC8t00"/>
          <w:sz w:val="23"/>
          <w:szCs w:val="23"/>
        </w:rPr>
        <w:t>O</w:t>
      </w:r>
      <w:r w:rsidRPr="00AF181E">
        <w:rPr>
          <w:rFonts w:asciiTheme="minorHAnsi" w:hAnsiTheme="minorHAnsi" w:cs="TTE1A42DC8t00"/>
          <w:sz w:val="23"/>
          <w:szCs w:val="23"/>
        </w:rPr>
        <w:t xml:space="preserve">perator </w:t>
      </w:r>
      <w:r w:rsidR="00A21E41">
        <w:rPr>
          <w:rFonts w:asciiTheme="minorHAnsi" w:hAnsiTheme="minorHAnsi" w:cs="TTE1A42DC8t00"/>
          <w:sz w:val="23"/>
          <w:szCs w:val="23"/>
        </w:rPr>
        <w:t>for</w:t>
      </w:r>
      <w:r w:rsidRPr="00AF181E">
        <w:rPr>
          <w:rFonts w:asciiTheme="minorHAnsi" w:hAnsiTheme="minorHAnsi" w:cs="TTE1A42DC8t00"/>
          <w:sz w:val="23"/>
          <w:szCs w:val="23"/>
        </w:rPr>
        <w:t xml:space="preserve"> Northern Ireland </w:t>
      </w:r>
      <w:r w:rsidR="00A21E41">
        <w:rPr>
          <w:rFonts w:asciiTheme="minorHAnsi" w:hAnsiTheme="minorHAnsi" w:cs="TTE1A42DC8t00"/>
          <w:sz w:val="23"/>
          <w:szCs w:val="23"/>
        </w:rPr>
        <w:t xml:space="preserve">(“SONI”) </w:t>
      </w:r>
      <w:r w:rsidRPr="00AF181E">
        <w:rPr>
          <w:rFonts w:asciiTheme="minorHAnsi" w:hAnsiTheme="minorHAnsi" w:cs="TTE1A42DC8t00"/>
          <w:sz w:val="23"/>
          <w:szCs w:val="23"/>
        </w:rPr>
        <w:t xml:space="preserve">keeps three of the large thermal generator units </w:t>
      </w:r>
      <w:r w:rsidR="00B84DFD" w:rsidRPr="00AF181E">
        <w:rPr>
          <w:rFonts w:asciiTheme="minorHAnsi" w:hAnsiTheme="minorHAnsi"/>
          <w:sz w:val="23"/>
          <w:szCs w:val="23"/>
        </w:rPr>
        <w:t>synchronised</w:t>
      </w:r>
      <w:r w:rsidRPr="00AF181E">
        <w:rPr>
          <w:rFonts w:asciiTheme="minorHAnsi" w:hAnsiTheme="minorHAnsi" w:cs="TTE1A42DC8t00"/>
          <w:sz w:val="23"/>
          <w:szCs w:val="23"/>
        </w:rPr>
        <w:t xml:space="preserve"> at all times </w:t>
      </w:r>
      <w:r w:rsidR="00B84DFD" w:rsidRPr="00AF181E">
        <w:rPr>
          <w:rFonts w:asciiTheme="minorHAnsi" w:hAnsiTheme="minorHAnsi" w:cs="TTE1A42DC8t00"/>
          <w:sz w:val="23"/>
          <w:szCs w:val="23"/>
        </w:rPr>
        <w:t>for</w:t>
      </w:r>
      <w:r w:rsidRPr="00AF181E">
        <w:rPr>
          <w:rFonts w:asciiTheme="minorHAnsi" w:hAnsiTheme="minorHAnsi" w:cs="TTE1A42DC8t00"/>
          <w:sz w:val="23"/>
          <w:szCs w:val="23"/>
        </w:rPr>
        <w:t xml:space="preserve"> system stability</w:t>
      </w:r>
      <w:r w:rsidR="00B84DFD" w:rsidRPr="00AF181E">
        <w:rPr>
          <w:rFonts w:asciiTheme="minorHAnsi" w:hAnsiTheme="minorHAnsi" w:cs="TTE1A42DC8t00"/>
          <w:sz w:val="23"/>
          <w:szCs w:val="23"/>
        </w:rPr>
        <w:t xml:space="preserve"> reasons. For these reasons the Consultation Paper states that the impact of the acquisition should be considered in a local Northern Ireland context</w:t>
      </w:r>
      <w:r w:rsidR="009826AD" w:rsidRPr="00AF181E">
        <w:rPr>
          <w:rFonts w:asciiTheme="minorHAnsi" w:hAnsiTheme="minorHAnsi" w:cs="TTE1A42DC8t00"/>
          <w:sz w:val="23"/>
          <w:szCs w:val="23"/>
        </w:rPr>
        <w:t xml:space="preserve">. </w:t>
      </w:r>
      <w:r w:rsidR="00B84DFD" w:rsidRPr="00AF181E">
        <w:rPr>
          <w:rFonts w:asciiTheme="minorHAnsi" w:hAnsiTheme="minorHAnsi" w:cs="TTE1A42DC8t00"/>
          <w:sz w:val="23"/>
          <w:szCs w:val="23"/>
        </w:rPr>
        <w:t>However these constraints have b</w:t>
      </w:r>
      <w:r w:rsidR="00F07366" w:rsidRPr="00AF181E">
        <w:rPr>
          <w:rFonts w:asciiTheme="minorHAnsi" w:hAnsiTheme="minorHAnsi"/>
          <w:sz w:val="23"/>
          <w:szCs w:val="23"/>
        </w:rPr>
        <w:t>een in existence</w:t>
      </w:r>
      <w:r w:rsidR="00B84DFD" w:rsidRPr="00AF181E">
        <w:rPr>
          <w:rFonts w:asciiTheme="minorHAnsi" w:hAnsiTheme="minorHAnsi"/>
          <w:sz w:val="23"/>
          <w:szCs w:val="23"/>
        </w:rPr>
        <w:t xml:space="preserve"> for many years, pre-dating</w:t>
      </w:r>
      <w:r w:rsidR="00F07366" w:rsidRPr="00AF181E">
        <w:rPr>
          <w:rFonts w:asciiTheme="minorHAnsi" w:hAnsiTheme="minorHAnsi"/>
          <w:sz w:val="23"/>
          <w:szCs w:val="23"/>
        </w:rPr>
        <w:t xml:space="preserve"> SEM</w:t>
      </w:r>
      <w:r w:rsidR="00B84DFD" w:rsidRPr="00AF181E">
        <w:rPr>
          <w:rFonts w:asciiTheme="minorHAnsi" w:hAnsiTheme="minorHAnsi"/>
          <w:sz w:val="23"/>
          <w:szCs w:val="23"/>
        </w:rPr>
        <w:t>,</w:t>
      </w:r>
      <w:r w:rsidR="00F07366" w:rsidRPr="00AF181E">
        <w:rPr>
          <w:rFonts w:asciiTheme="minorHAnsi" w:hAnsiTheme="minorHAnsi"/>
          <w:sz w:val="23"/>
          <w:szCs w:val="23"/>
        </w:rPr>
        <w:t xml:space="preserve"> and </w:t>
      </w:r>
      <w:r w:rsidR="00B84DFD" w:rsidRPr="00AF181E">
        <w:rPr>
          <w:rFonts w:asciiTheme="minorHAnsi" w:hAnsiTheme="minorHAnsi"/>
          <w:sz w:val="23"/>
          <w:szCs w:val="23"/>
        </w:rPr>
        <w:t>are therefore un</w:t>
      </w:r>
      <w:r w:rsidR="001E1E1E">
        <w:rPr>
          <w:rFonts w:asciiTheme="minorHAnsi" w:hAnsiTheme="minorHAnsi"/>
          <w:sz w:val="23"/>
          <w:szCs w:val="23"/>
        </w:rPr>
        <w:t>affected</w:t>
      </w:r>
      <w:r w:rsidR="00B84DFD" w:rsidRPr="00AF181E">
        <w:rPr>
          <w:rFonts w:asciiTheme="minorHAnsi" w:hAnsiTheme="minorHAnsi"/>
          <w:sz w:val="23"/>
          <w:szCs w:val="23"/>
        </w:rPr>
        <w:t xml:space="preserve"> by the acquisition</w:t>
      </w:r>
      <w:r w:rsidR="00F07366" w:rsidRPr="00AF181E">
        <w:rPr>
          <w:rFonts w:asciiTheme="minorHAnsi" w:hAnsiTheme="minorHAnsi"/>
          <w:sz w:val="23"/>
          <w:szCs w:val="23"/>
        </w:rPr>
        <w:t xml:space="preserve">. </w:t>
      </w:r>
      <w:r w:rsidR="00802D77" w:rsidRPr="00AF181E">
        <w:rPr>
          <w:rFonts w:asciiTheme="minorHAnsi" w:hAnsiTheme="minorHAnsi"/>
          <w:sz w:val="23"/>
          <w:szCs w:val="23"/>
        </w:rPr>
        <w:t xml:space="preserve">The parties bidding in the units behind the constraints have exactly the same ability or incentive to </w:t>
      </w:r>
      <w:r w:rsidR="00D80B62" w:rsidRPr="00AF181E">
        <w:rPr>
          <w:rFonts w:asciiTheme="minorHAnsi" w:hAnsiTheme="minorHAnsi"/>
          <w:sz w:val="23"/>
          <w:szCs w:val="23"/>
        </w:rPr>
        <w:t>try and increase constraint payments as they did prior to the acquisition</w:t>
      </w:r>
      <w:r w:rsidR="0030627C" w:rsidRPr="00AF181E">
        <w:rPr>
          <w:rFonts w:asciiTheme="minorHAnsi" w:hAnsiTheme="minorHAnsi"/>
          <w:sz w:val="23"/>
          <w:szCs w:val="23"/>
        </w:rPr>
        <w:t>.</w:t>
      </w:r>
      <w:r w:rsidR="00D80B62" w:rsidRPr="00AF181E">
        <w:rPr>
          <w:rFonts w:asciiTheme="minorHAnsi" w:hAnsiTheme="minorHAnsi" w:cs="TTE1A42DC8t00"/>
          <w:sz w:val="23"/>
          <w:szCs w:val="23"/>
          <w:lang w:val="en-US"/>
        </w:rPr>
        <w:t xml:space="preserve"> </w:t>
      </w:r>
    </w:p>
    <w:p w:rsidR="00AD5E45" w:rsidRPr="00AF181E" w:rsidRDefault="00AD5E45" w:rsidP="00AD5E45">
      <w:pPr>
        <w:autoSpaceDE w:val="0"/>
        <w:autoSpaceDN w:val="0"/>
        <w:adjustRightInd w:val="0"/>
        <w:spacing w:after="0" w:line="240" w:lineRule="auto"/>
        <w:rPr>
          <w:rFonts w:cs="Arial"/>
          <w:color w:val="000000"/>
          <w:sz w:val="23"/>
          <w:szCs w:val="23"/>
          <w:lang w:val="en-US"/>
        </w:rPr>
      </w:pPr>
      <w:r w:rsidRPr="00AF181E">
        <w:rPr>
          <w:rFonts w:cs="Arial"/>
          <w:color w:val="000000"/>
          <w:sz w:val="23"/>
          <w:szCs w:val="23"/>
          <w:lang w:val="en-US"/>
        </w:rPr>
        <w:t>The SEM High Level Design Decision Paper (AIP/SEM/42/05) published on 10 June 2005 stated on page 8 that</w:t>
      </w:r>
    </w:p>
    <w:p w:rsidR="00AD5E45" w:rsidRPr="00AF181E" w:rsidRDefault="00AD5E45" w:rsidP="00AD5E45">
      <w:pPr>
        <w:autoSpaceDE w:val="0"/>
        <w:autoSpaceDN w:val="0"/>
        <w:adjustRightInd w:val="0"/>
        <w:spacing w:after="0" w:line="240" w:lineRule="auto"/>
        <w:rPr>
          <w:rFonts w:cs="Arial"/>
          <w:color w:val="000000"/>
          <w:sz w:val="23"/>
          <w:szCs w:val="23"/>
          <w:lang w:val="en-US"/>
        </w:rPr>
      </w:pPr>
    </w:p>
    <w:p w:rsidR="00AD5E45" w:rsidRPr="00AF181E" w:rsidRDefault="00AD5E45" w:rsidP="00A21E41">
      <w:pPr>
        <w:pStyle w:val="BodyText"/>
        <w:ind w:left="720" w:right="720"/>
        <w:rPr>
          <w:rFonts w:asciiTheme="minorHAnsi" w:hAnsiTheme="minorHAnsi"/>
          <w:color w:val="000000"/>
          <w:sz w:val="23"/>
          <w:szCs w:val="23"/>
        </w:rPr>
      </w:pPr>
      <w:r w:rsidRPr="00AF181E">
        <w:rPr>
          <w:rFonts w:asciiTheme="minorHAnsi" w:hAnsiTheme="minorHAnsi"/>
          <w:color w:val="000000"/>
          <w:sz w:val="23"/>
          <w:szCs w:val="23"/>
        </w:rPr>
        <w:t>“Where a plant is regularly constrained on to resolve transmission constraints it has market power. There is an incentive on a plant in this position to maximise its constrained up payments by bidding as high as possible for the portion of its plant that is outside the merit order. Plants in such a situation shall be subject to close scrutiny and monitoring. They may also be subject to regulation of their bids where appropriate.”</w:t>
      </w:r>
    </w:p>
    <w:p w:rsidR="00AD5E45" w:rsidRPr="00AF181E" w:rsidRDefault="00AD5E45" w:rsidP="0030627C">
      <w:pPr>
        <w:pStyle w:val="BodyText"/>
        <w:rPr>
          <w:rFonts w:asciiTheme="minorHAnsi" w:hAnsiTheme="minorHAnsi"/>
          <w:color w:val="000000"/>
          <w:sz w:val="23"/>
          <w:szCs w:val="23"/>
        </w:rPr>
      </w:pPr>
      <w:r w:rsidRPr="00AF181E">
        <w:rPr>
          <w:rFonts w:asciiTheme="minorHAnsi" w:hAnsiTheme="minorHAnsi"/>
          <w:color w:val="000000"/>
          <w:sz w:val="23"/>
          <w:szCs w:val="23"/>
        </w:rPr>
        <w:t xml:space="preserve">Since the constraints in Northern Ireland have been in existence since the start of SEM it must be assumed from the above statement that the Northern Ireland generators have been under constant scrutiny to ensure that they have not </w:t>
      </w:r>
      <w:r w:rsidR="00A21E41">
        <w:rPr>
          <w:rFonts w:asciiTheme="minorHAnsi" w:hAnsiTheme="minorHAnsi"/>
          <w:color w:val="000000"/>
          <w:sz w:val="23"/>
          <w:szCs w:val="23"/>
        </w:rPr>
        <w:t>abused</w:t>
      </w:r>
      <w:r w:rsidRPr="00AF181E">
        <w:rPr>
          <w:rFonts w:asciiTheme="minorHAnsi" w:hAnsiTheme="minorHAnsi"/>
          <w:color w:val="000000"/>
          <w:sz w:val="23"/>
          <w:szCs w:val="23"/>
        </w:rPr>
        <w:t xml:space="preserve"> their market power.</w:t>
      </w:r>
      <w:r w:rsidR="00033B59" w:rsidRPr="00AF181E">
        <w:rPr>
          <w:rFonts w:asciiTheme="minorHAnsi" w:hAnsiTheme="minorHAnsi"/>
          <w:color w:val="000000"/>
          <w:sz w:val="23"/>
          <w:szCs w:val="23"/>
        </w:rPr>
        <w:t xml:space="preserve"> AES would therefore expect this to continue until such time as the constraints are removed.</w:t>
      </w:r>
      <w:r w:rsidRPr="00AF181E">
        <w:rPr>
          <w:rFonts w:asciiTheme="minorHAnsi" w:hAnsiTheme="minorHAnsi"/>
          <w:color w:val="000000"/>
          <w:sz w:val="23"/>
          <w:szCs w:val="23"/>
        </w:rPr>
        <w:t xml:space="preserve"> AES is not</w:t>
      </w:r>
      <w:r w:rsidR="00033B59" w:rsidRPr="00AF181E">
        <w:rPr>
          <w:rFonts w:asciiTheme="minorHAnsi" w:hAnsiTheme="minorHAnsi"/>
          <w:color w:val="000000"/>
          <w:sz w:val="23"/>
          <w:szCs w:val="23"/>
        </w:rPr>
        <w:t xml:space="preserve"> however </w:t>
      </w:r>
      <w:r w:rsidRPr="00AF181E">
        <w:rPr>
          <w:rFonts w:asciiTheme="minorHAnsi" w:hAnsiTheme="minorHAnsi"/>
          <w:color w:val="000000"/>
          <w:sz w:val="23"/>
          <w:szCs w:val="23"/>
        </w:rPr>
        <w:t xml:space="preserve">aware of </w:t>
      </w:r>
      <w:r w:rsidR="001D7D15">
        <w:rPr>
          <w:rFonts w:asciiTheme="minorHAnsi" w:hAnsiTheme="minorHAnsi"/>
          <w:color w:val="000000"/>
          <w:sz w:val="23"/>
          <w:szCs w:val="23"/>
        </w:rPr>
        <w:t xml:space="preserve">the </w:t>
      </w:r>
      <w:r w:rsidR="00033B59" w:rsidRPr="00AF181E">
        <w:rPr>
          <w:rFonts w:asciiTheme="minorHAnsi" w:hAnsiTheme="minorHAnsi"/>
          <w:color w:val="000000"/>
          <w:sz w:val="23"/>
          <w:szCs w:val="23"/>
        </w:rPr>
        <w:t>Authorit</w:t>
      </w:r>
      <w:r w:rsidR="001D7D15">
        <w:rPr>
          <w:rFonts w:asciiTheme="minorHAnsi" w:hAnsiTheme="minorHAnsi"/>
          <w:color w:val="000000"/>
          <w:sz w:val="23"/>
          <w:szCs w:val="23"/>
        </w:rPr>
        <w:t>y</w:t>
      </w:r>
      <w:r w:rsidR="00033B59" w:rsidRPr="00AF181E">
        <w:rPr>
          <w:rFonts w:asciiTheme="minorHAnsi" w:hAnsiTheme="minorHAnsi"/>
          <w:color w:val="000000"/>
          <w:sz w:val="23"/>
          <w:szCs w:val="23"/>
        </w:rPr>
        <w:t xml:space="preserve"> having to take action against any of the thermal generators in Northern Ireland on the basis of them increasing their bids to increase constraint payments.  </w:t>
      </w:r>
      <w:r w:rsidR="00B66FAD" w:rsidRPr="00AF181E">
        <w:rPr>
          <w:rFonts w:asciiTheme="minorHAnsi" w:hAnsiTheme="minorHAnsi"/>
          <w:color w:val="000000"/>
          <w:sz w:val="23"/>
          <w:szCs w:val="23"/>
        </w:rPr>
        <w:t>In addition, since all of the AES portfolio has been in the SEM since its beginning (other than the Kilroot GTs 3 and 4) there is a long history of bids and any attempt by AES to increase its bids would be clearly visible.</w:t>
      </w:r>
    </w:p>
    <w:p w:rsidR="0030627C" w:rsidRPr="00AF181E" w:rsidRDefault="00033B59" w:rsidP="0030627C">
      <w:pPr>
        <w:pStyle w:val="BodyText"/>
        <w:rPr>
          <w:rFonts w:asciiTheme="minorHAnsi" w:hAnsiTheme="minorHAnsi" w:cs="TTE1A42DC8t00"/>
          <w:sz w:val="23"/>
          <w:szCs w:val="23"/>
          <w:lang w:val="en-US"/>
        </w:rPr>
      </w:pPr>
      <w:r w:rsidRPr="00AF181E">
        <w:rPr>
          <w:rFonts w:asciiTheme="minorHAnsi" w:hAnsiTheme="minorHAnsi"/>
          <w:color w:val="000000"/>
          <w:sz w:val="23"/>
          <w:szCs w:val="23"/>
        </w:rPr>
        <w:t>In addition to the above scrutiny there are t</w:t>
      </w:r>
      <w:r w:rsidR="008F5B3F" w:rsidRPr="00AF181E">
        <w:rPr>
          <w:rFonts w:asciiTheme="minorHAnsi" w:hAnsiTheme="minorHAnsi" w:cs="TTE1A42DC8t00"/>
          <w:sz w:val="23"/>
          <w:szCs w:val="23"/>
          <w:lang w:val="en-US"/>
        </w:rPr>
        <w:t xml:space="preserve">wo </w:t>
      </w:r>
      <w:r w:rsidR="00D80B62" w:rsidRPr="00AF181E">
        <w:rPr>
          <w:rFonts w:asciiTheme="minorHAnsi" w:hAnsiTheme="minorHAnsi" w:cs="TTE1A42DC8t00"/>
          <w:sz w:val="23"/>
          <w:szCs w:val="23"/>
          <w:lang w:val="en-US"/>
        </w:rPr>
        <w:t>key limitation</w:t>
      </w:r>
      <w:r w:rsidR="008F5B3F" w:rsidRPr="00AF181E">
        <w:rPr>
          <w:rFonts w:asciiTheme="minorHAnsi" w:hAnsiTheme="minorHAnsi" w:cs="TTE1A42DC8t00"/>
          <w:sz w:val="23"/>
          <w:szCs w:val="23"/>
          <w:lang w:val="en-US"/>
        </w:rPr>
        <w:t>s</w:t>
      </w:r>
      <w:r w:rsidR="00D80B62" w:rsidRPr="00AF181E">
        <w:rPr>
          <w:rFonts w:asciiTheme="minorHAnsi" w:hAnsiTheme="minorHAnsi" w:cs="TTE1A42DC8t00"/>
          <w:sz w:val="23"/>
          <w:szCs w:val="23"/>
          <w:lang w:val="en-US"/>
        </w:rPr>
        <w:t xml:space="preserve"> on a party's ability to manipulate the level of constraint payments it receives</w:t>
      </w:r>
      <w:r w:rsidRPr="00AF181E">
        <w:rPr>
          <w:rFonts w:asciiTheme="minorHAnsi" w:hAnsiTheme="minorHAnsi" w:cs="TTE1A42DC8t00"/>
          <w:sz w:val="23"/>
          <w:szCs w:val="23"/>
          <w:lang w:val="en-US"/>
        </w:rPr>
        <w:t>. Firstly</w:t>
      </w:r>
      <w:r w:rsidR="00D80B62" w:rsidRPr="00AF181E">
        <w:rPr>
          <w:rFonts w:asciiTheme="minorHAnsi" w:hAnsiTheme="minorHAnsi" w:cs="TTE1A42DC8t00"/>
          <w:sz w:val="23"/>
          <w:szCs w:val="23"/>
          <w:lang w:val="en-US"/>
        </w:rPr>
        <w:t xml:space="preserve"> the fact that bids must be submitted </w:t>
      </w:r>
      <w:r w:rsidR="008F5B3F" w:rsidRPr="00AF181E">
        <w:rPr>
          <w:rFonts w:asciiTheme="minorHAnsi" w:hAnsiTheme="minorHAnsi" w:cs="TTE1A42DC8t00"/>
          <w:sz w:val="23"/>
          <w:szCs w:val="23"/>
          <w:lang w:val="en-US"/>
        </w:rPr>
        <w:t xml:space="preserve">day </w:t>
      </w:r>
      <w:r w:rsidR="00D80B62" w:rsidRPr="00AF181E">
        <w:rPr>
          <w:rFonts w:asciiTheme="minorHAnsi" w:hAnsiTheme="minorHAnsi" w:cs="TTE1A42DC8t00"/>
          <w:sz w:val="23"/>
          <w:szCs w:val="23"/>
          <w:lang w:val="en-US"/>
        </w:rPr>
        <w:t xml:space="preserve">ahead of time and </w:t>
      </w:r>
      <w:r w:rsidRPr="00AF181E">
        <w:rPr>
          <w:rFonts w:asciiTheme="minorHAnsi" w:hAnsiTheme="minorHAnsi" w:cs="TTE1A42DC8t00"/>
          <w:sz w:val="23"/>
          <w:szCs w:val="23"/>
          <w:lang w:val="en-US"/>
        </w:rPr>
        <w:t>secondly because t</w:t>
      </w:r>
      <w:r w:rsidR="00B66FAD" w:rsidRPr="00AF181E">
        <w:rPr>
          <w:rFonts w:asciiTheme="minorHAnsi" w:hAnsiTheme="minorHAnsi" w:cs="TTE1A42DC8t00"/>
          <w:sz w:val="23"/>
          <w:szCs w:val="23"/>
          <w:lang w:val="en-US"/>
        </w:rPr>
        <w:t>he</w:t>
      </w:r>
      <w:r w:rsidR="00E11DCD">
        <w:rPr>
          <w:rFonts w:asciiTheme="minorHAnsi" w:hAnsiTheme="minorHAnsi" w:cs="TTE1A42DC8t00"/>
          <w:sz w:val="23"/>
          <w:szCs w:val="23"/>
          <w:lang w:val="en-US"/>
        </w:rPr>
        <w:t xml:space="preserve"> </w:t>
      </w:r>
      <w:r w:rsidR="00B66FAD" w:rsidRPr="00AF181E">
        <w:rPr>
          <w:rFonts w:asciiTheme="minorHAnsi" w:hAnsiTheme="minorHAnsi" w:cs="TTE1A42DC8t00"/>
          <w:sz w:val="23"/>
          <w:szCs w:val="23"/>
          <w:lang w:val="en-US"/>
        </w:rPr>
        <w:t>SMP</w:t>
      </w:r>
      <w:r w:rsidR="008F5B3F" w:rsidRPr="00AF181E">
        <w:rPr>
          <w:rFonts w:asciiTheme="minorHAnsi" w:hAnsiTheme="minorHAnsi" w:cs="TTE1A42DC8t00"/>
          <w:sz w:val="23"/>
          <w:szCs w:val="23"/>
          <w:lang w:val="en-US"/>
        </w:rPr>
        <w:t xml:space="preserve"> is based on the u</w:t>
      </w:r>
      <w:r w:rsidR="00D80B62" w:rsidRPr="00AF181E">
        <w:rPr>
          <w:rFonts w:asciiTheme="minorHAnsi" w:hAnsiTheme="minorHAnsi" w:cs="TTE1A42DC8t00"/>
          <w:sz w:val="23"/>
          <w:szCs w:val="23"/>
          <w:lang w:val="en-US"/>
        </w:rPr>
        <w:t>nconstrained</w:t>
      </w:r>
      <w:r w:rsidR="008F5B3F" w:rsidRPr="00AF181E">
        <w:rPr>
          <w:rFonts w:asciiTheme="minorHAnsi" w:hAnsiTheme="minorHAnsi" w:cs="TTE1A42DC8t00"/>
          <w:sz w:val="23"/>
          <w:szCs w:val="23"/>
          <w:lang w:val="en-US"/>
        </w:rPr>
        <w:t xml:space="preserve"> market schedule</w:t>
      </w:r>
      <w:r w:rsidR="00D80B62" w:rsidRPr="00AF181E">
        <w:rPr>
          <w:rFonts w:asciiTheme="minorHAnsi" w:hAnsiTheme="minorHAnsi" w:cs="TTE1A42DC8t00"/>
          <w:sz w:val="23"/>
          <w:szCs w:val="23"/>
          <w:lang w:val="en-US"/>
        </w:rPr>
        <w:t>. This means that</w:t>
      </w:r>
      <w:r w:rsidR="008F5B3F" w:rsidRPr="00AF181E">
        <w:rPr>
          <w:rFonts w:asciiTheme="minorHAnsi" w:hAnsiTheme="minorHAnsi" w:cs="TTE1A42DC8t00"/>
          <w:sz w:val="23"/>
          <w:szCs w:val="23"/>
          <w:lang w:val="en-US"/>
        </w:rPr>
        <w:t>,</w:t>
      </w:r>
      <w:r w:rsidR="00D80B62" w:rsidRPr="00AF181E">
        <w:rPr>
          <w:rFonts w:asciiTheme="minorHAnsi" w:hAnsiTheme="minorHAnsi" w:cs="TTE1A42DC8t00"/>
          <w:sz w:val="23"/>
          <w:szCs w:val="23"/>
          <w:lang w:val="en-US"/>
        </w:rPr>
        <w:t xml:space="preserve"> even in the absence of </w:t>
      </w:r>
      <w:r w:rsidR="008F5B3F" w:rsidRPr="00AF181E">
        <w:rPr>
          <w:rFonts w:asciiTheme="minorHAnsi" w:hAnsiTheme="minorHAnsi" w:cs="TTE1A42DC8t00"/>
          <w:sz w:val="23"/>
          <w:szCs w:val="23"/>
          <w:lang w:val="en-US"/>
        </w:rPr>
        <w:t xml:space="preserve">market power </w:t>
      </w:r>
      <w:r w:rsidR="00D80B62" w:rsidRPr="00AF181E">
        <w:rPr>
          <w:rFonts w:asciiTheme="minorHAnsi" w:hAnsiTheme="minorHAnsi" w:cs="TTE1A42DC8t00"/>
          <w:sz w:val="23"/>
          <w:szCs w:val="23"/>
          <w:lang w:val="en-US"/>
        </w:rPr>
        <w:t>mitigation measures</w:t>
      </w:r>
      <w:r w:rsidR="008F5B3F" w:rsidRPr="00AF181E">
        <w:rPr>
          <w:rFonts w:asciiTheme="minorHAnsi" w:hAnsiTheme="minorHAnsi" w:cs="TTE1A42DC8t00"/>
          <w:sz w:val="23"/>
          <w:szCs w:val="23"/>
          <w:lang w:val="en-US"/>
        </w:rPr>
        <w:t>,</w:t>
      </w:r>
      <w:r w:rsidR="00D80B62" w:rsidRPr="00AF181E">
        <w:rPr>
          <w:rFonts w:asciiTheme="minorHAnsi" w:hAnsiTheme="minorHAnsi" w:cs="TTE1A42DC8t00"/>
          <w:sz w:val="23"/>
          <w:szCs w:val="23"/>
          <w:lang w:val="en-US"/>
        </w:rPr>
        <w:t xml:space="preserve"> any attempt to increase </w:t>
      </w:r>
      <w:r w:rsidR="008F5B3F" w:rsidRPr="00AF181E">
        <w:rPr>
          <w:rFonts w:asciiTheme="minorHAnsi" w:hAnsiTheme="minorHAnsi" w:cs="TTE1A42DC8t00"/>
          <w:sz w:val="23"/>
          <w:szCs w:val="23"/>
          <w:lang w:val="en-US"/>
        </w:rPr>
        <w:t>constraint pay</w:t>
      </w:r>
      <w:r w:rsidR="00D80B62" w:rsidRPr="00AF181E">
        <w:rPr>
          <w:rFonts w:asciiTheme="minorHAnsi" w:hAnsiTheme="minorHAnsi" w:cs="TTE1A42DC8t00"/>
          <w:sz w:val="23"/>
          <w:szCs w:val="23"/>
          <w:lang w:val="en-US"/>
        </w:rPr>
        <w:t>ment</w:t>
      </w:r>
      <w:r w:rsidR="008F5B3F" w:rsidRPr="00AF181E">
        <w:rPr>
          <w:rFonts w:asciiTheme="minorHAnsi" w:hAnsiTheme="minorHAnsi" w:cs="TTE1A42DC8t00"/>
          <w:sz w:val="23"/>
          <w:szCs w:val="23"/>
          <w:lang w:val="en-US"/>
        </w:rPr>
        <w:t xml:space="preserve">s by inflating bid prices </w:t>
      </w:r>
      <w:r w:rsidR="00957399" w:rsidRPr="00AF181E">
        <w:rPr>
          <w:rFonts w:asciiTheme="minorHAnsi" w:hAnsiTheme="minorHAnsi" w:cs="TTE1A42DC8t00"/>
          <w:sz w:val="23"/>
          <w:szCs w:val="23"/>
          <w:lang w:val="en-US"/>
        </w:rPr>
        <w:t>will</w:t>
      </w:r>
      <w:r w:rsidR="00D80B62" w:rsidRPr="00AF181E">
        <w:rPr>
          <w:rFonts w:asciiTheme="minorHAnsi" w:hAnsiTheme="minorHAnsi" w:cs="TTE1A42DC8t00"/>
          <w:sz w:val="23"/>
          <w:szCs w:val="23"/>
          <w:lang w:val="en-US"/>
        </w:rPr>
        <w:t xml:space="preserve"> </w:t>
      </w:r>
      <w:r w:rsidR="008F5B3F" w:rsidRPr="00AF181E">
        <w:rPr>
          <w:rFonts w:asciiTheme="minorHAnsi" w:hAnsiTheme="minorHAnsi" w:cs="TTE1A42DC8t00"/>
          <w:sz w:val="23"/>
          <w:szCs w:val="23"/>
          <w:lang w:val="en-US"/>
        </w:rPr>
        <w:t>reduce the likelihood of being included in the unconstrained market schedule</w:t>
      </w:r>
      <w:r w:rsidR="00D80B62" w:rsidRPr="00AF181E">
        <w:rPr>
          <w:rFonts w:asciiTheme="minorHAnsi" w:hAnsiTheme="minorHAnsi" w:cs="TTE1A42DC8t00"/>
          <w:sz w:val="23"/>
          <w:szCs w:val="23"/>
          <w:lang w:val="en-US"/>
        </w:rPr>
        <w:t>.</w:t>
      </w:r>
      <w:r w:rsidR="00900310" w:rsidRPr="00AF181E">
        <w:rPr>
          <w:rFonts w:asciiTheme="minorHAnsi" w:hAnsiTheme="minorHAnsi" w:cs="TTE1A42DC8t00"/>
          <w:sz w:val="23"/>
          <w:szCs w:val="23"/>
          <w:lang w:val="en-US"/>
        </w:rPr>
        <w:t xml:space="preserve"> Since a </w:t>
      </w:r>
      <w:r w:rsidR="00957399" w:rsidRPr="00AF181E">
        <w:rPr>
          <w:rFonts w:asciiTheme="minorHAnsi" w:hAnsiTheme="minorHAnsi" w:cs="TTE1A42DC8t00"/>
          <w:sz w:val="23"/>
          <w:szCs w:val="23"/>
          <w:lang w:val="en-US"/>
        </w:rPr>
        <w:t>party’s</w:t>
      </w:r>
      <w:r w:rsidR="00900310" w:rsidRPr="00AF181E">
        <w:rPr>
          <w:rFonts w:asciiTheme="minorHAnsi" w:hAnsiTheme="minorHAnsi" w:cs="TTE1A42DC8t00"/>
          <w:sz w:val="23"/>
          <w:szCs w:val="23"/>
          <w:lang w:val="en-US"/>
        </w:rPr>
        <w:t xml:space="preserve"> </w:t>
      </w:r>
      <w:r w:rsidR="00957399" w:rsidRPr="00AF181E">
        <w:rPr>
          <w:rFonts w:asciiTheme="minorHAnsi" w:hAnsiTheme="minorHAnsi" w:cs="TTE1A42DC8t00"/>
          <w:sz w:val="23"/>
          <w:szCs w:val="23"/>
          <w:lang w:val="en-US"/>
        </w:rPr>
        <w:t xml:space="preserve">only </w:t>
      </w:r>
      <w:r w:rsidR="00900310" w:rsidRPr="00AF181E">
        <w:rPr>
          <w:rFonts w:asciiTheme="minorHAnsi" w:hAnsiTheme="minorHAnsi" w:cs="TTE1A42DC8t00"/>
          <w:sz w:val="23"/>
          <w:szCs w:val="23"/>
          <w:lang w:val="en-US"/>
        </w:rPr>
        <w:t>opportunity to</w:t>
      </w:r>
      <w:r w:rsidR="00957399" w:rsidRPr="00AF181E">
        <w:rPr>
          <w:rFonts w:asciiTheme="minorHAnsi" w:hAnsiTheme="minorHAnsi" w:cs="TTE1A42DC8t00"/>
          <w:sz w:val="23"/>
          <w:szCs w:val="23"/>
          <w:lang w:val="en-US"/>
        </w:rPr>
        <w:t xml:space="preserve"> earn a profit (and therefore a contribution to fixed costs) is when it is in the market schedule (given that constraint payments reflect a party’s bid </w:t>
      </w:r>
      <w:r w:rsidR="00957399" w:rsidRPr="00AF181E">
        <w:rPr>
          <w:rFonts w:asciiTheme="minorHAnsi" w:hAnsiTheme="minorHAnsi" w:cs="TTE1A42DC8t00"/>
          <w:sz w:val="23"/>
          <w:szCs w:val="23"/>
          <w:lang w:val="en-US"/>
        </w:rPr>
        <w:lastRenderedPageBreak/>
        <w:t xml:space="preserve">price which is in turn </w:t>
      </w:r>
      <w:r w:rsidR="00B4109E" w:rsidRPr="00AF181E">
        <w:rPr>
          <w:rFonts w:asciiTheme="minorHAnsi" w:hAnsiTheme="minorHAnsi" w:cs="TTE1A42DC8t00"/>
          <w:sz w:val="23"/>
          <w:szCs w:val="23"/>
          <w:lang w:val="en-US"/>
        </w:rPr>
        <w:t>reflects</w:t>
      </w:r>
      <w:r w:rsidR="00957399" w:rsidRPr="00AF181E">
        <w:rPr>
          <w:rFonts w:asciiTheme="minorHAnsi" w:hAnsiTheme="minorHAnsi" w:cs="TTE1A42DC8t00"/>
          <w:sz w:val="23"/>
          <w:szCs w:val="23"/>
          <w:lang w:val="en-US"/>
        </w:rPr>
        <w:t xml:space="preserve"> short-run marginal cost) it is more incentivised to keep bids as low rather than high</w:t>
      </w:r>
      <w:r w:rsidR="00B4109E" w:rsidRPr="00AF181E">
        <w:rPr>
          <w:rFonts w:asciiTheme="minorHAnsi" w:hAnsiTheme="minorHAnsi" w:cs="TTE1A42DC8t00"/>
          <w:sz w:val="23"/>
          <w:szCs w:val="23"/>
          <w:lang w:val="en-US"/>
        </w:rPr>
        <w:t xml:space="preserve">. Pure cost recovery is not a sustainable long-term position for a </w:t>
      </w:r>
      <w:r w:rsidR="00E11DCD">
        <w:rPr>
          <w:rFonts w:asciiTheme="minorHAnsi" w:hAnsiTheme="minorHAnsi" w:cs="TTE1A42DC8t00"/>
          <w:sz w:val="23"/>
          <w:szCs w:val="23"/>
          <w:lang w:val="en-US"/>
        </w:rPr>
        <w:t>generator</w:t>
      </w:r>
      <w:r w:rsidR="00B4109E" w:rsidRPr="00AF181E">
        <w:rPr>
          <w:rFonts w:asciiTheme="minorHAnsi" w:hAnsiTheme="minorHAnsi" w:cs="TTE1A42DC8t00"/>
          <w:sz w:val="23"/>
          <w:szCs w:val="23"/>
          <w:lang w:val="en-US"/>
        </w:rPr>
        <w:t>.</w:t>
      </w:r>
      <w:r w:rsidR="00957399" w:rsidRPr="00AF181E">
        <w:rPr>
          <w:rFonts w:asciiTheme="minorHAnsi" w:hAnsiTheme="minorHAnsi" w:cs="TTE1A42DC8t00"/>
          <w:sz w:val="23"/>
          <w:szCs w:val="23"/>
          <w:lang w:val="en-US"/>
        </w:rPr>
        <w:t xml:space="preserve"> </w:t>
      </w:r>
    </w:p>
    <w:p w:rsidR="00033B59" w:rsidRPr="00AF181E" w:rsidRDefault="002E39B5" w:rsidP="0030627C">
      <w:pPr>
        <w:pStyle w:val="BodyText"/>
        <w:rPr>
          <w:rFonts w:asciiTheme="minorHAnsi" w:hAnsiTheme="minorHAnsi" w:cs="TTE1A42DC8t00"/>
          <w:sz w:val="23"/>
          <w:szCs w:val="23"/>
          <w:lang w:val="en-US"/>
        </w:rPr>
      </w:pPr>
      <w:r w:rsidRPr="00AF181E">
        <w:rPr>
          <w:rFonts w:asciiTheme="minorHAnsi" w:hAnsiTheme="minorHAnsi"/>
          <w:sz w:val="23"/>
          <w:szCs w:val="23"/>
        </w:rPr>
        <w:t>Currently only limited ad hoc information is published in relation to constraints with no breakdown of constraint costs. AES would urge that greater transparency be provided regarding the nature of constraints and their relative costs and that</w:t>
      </w:r>
      <w:r w:rsidR="00345363" w:rsidRPr="00AF181E">
        <w:rPr>
          <w:rFonts w:asciiTheme="minorHAnsi" w:hAnsiTheme="minorHAnsi"/>
          <w:sz w:val="23"/>
          <w:szCs w:val="23"/>
        </w:rPr>
        <w:t xml:space="preserve"> </w:t>
      </w:r>
      <w:r w:rsidRPr="00AF181E">
        <w:rPr>
          <w:rFonts w:asciiTheme="minorHAnsi" w:hAnsiTheme="minorHAnsi"/>
          <w:sz w:val="23"/>
          <w:szCs w:val="23"/>
        </w:rPr>
        <w:t>incentives are introduced</w:t>
      </w:r>
      <w:r w:rsidR="00A21E41">
        <w:rPr>
          <w:rFonts w:asciiTheme="minorHAnsi" w:hAnsiTheme="minorHAnsi"/>
          <w:sz w:val="23"/>
          <w:szCs w:val="23"/>
        </w:rPr>
        <w:t xml:space="preserve"> within SONI’s (and NIE’s) price control</w:t>
      </w:r>
      <w:r w:rsidRPr="00AF181E">
        <w:rPr>
          <w:rFonts w:asciiTheme="minorHAnsi" w:hAnsiTheme="minorHAnsi"/>
          <w:sz w:val="23"/>
          <w:szCs w:val="23"/>
        </w:rPr>
        <w:t xml:space="preserve"> to increase focus on the management and resolution of constraints.</w:t>
      </w:r>
    </w:p>
    <w:p w:rsidR="0031539A" w:rsidRPr="00EE3E31" w:rsidRDefault="00EE3E31" w:rsidP="0031539A">
      <w:pPr>
        <w:pStyle w:val="Default"/>
        <w:jc w:val="both"/>
        <w:rPr>
          <w:rFonts w:asciiTheme="minorHAnsi" w:hAnsiTheme="minorHAnsi"/>
          <w:b/>
        </w:rPr>
      </w:pPr>
      <w:r w:rsidRPr="00EE3E31">
        <w:rPr>
          <w:rFonts w:asciiTheme="minorHAnsi" w:hAnsiTheme="minorHAnsi"/>
          <w:b/>
        </w:rPr>
        <w:t xml:space="preserve">3.2.2 </w:t>
      </w:r>
      <w:r>
        <w:rPr>
          <w:rFonts w:asciiTheme="minorHAnsi" w:hAnsiTheme="minorHAnsi"/>
          <w:b/>
        </w:rPr>
        <w:tab/>
      </w:r>
      <w:r w:rsidR="0031539A" w:rsidRPr="00EE3E31">
        <w:rPr>
          <w:rFonts w:asciiTheme="minorHAnsi" w:hAnsiTheme="minorHAnsi"/>
          <w:b/>
        </w:rPr>
        <w:t>Ability to Withhold Capacity</w:t>
      </w:r>
    </w:p>
    <w:p w:rsidR="0040383E" w:rsidRPr="00AF181E" w:rsidRDefault="0040383E" w:rsidP="00544A7A">
      <w:pPr>
        <w:pStyle w:val="Default"/>
        <w:jc w:val="both"/>
        <w:rPr>
          <w:rFonts w:asciiTheme="minorHAnsi" w:hAnsiTheme="minorHAnsi"/>
          <w:sz w:val="23"/>
          <w:szCs w:val="23"/>
        </w:rPr>
      </w:pPr>
    </w:p>
    <w:p w:rsidR="00544A7A" w:rsidRPr="00AF181E" w:rsidRDefault="009826AD" w:rsidP="00544A7A">
      <w:pPr>
        <w:pStyle w:val="Default"/>
        <w:jc w:val="both"/>
        <w:rPr>
          <w:rFonts w:asciiTheme="minorHAnsi" w:hAnsiTheme="minorHAnsi"/>
          <w:sz w:val="23"/>
          <w:szCs w:val="23"/>
        </w:rPr>
      </w:pPr>
      <w:r w:rsidRPr="00AF181E">
        <w:rPr>
          <w:rFonts w:asciiTheme="minorHAnsi" w:hAnsiTheme="minorHAnsi"/>
          <w:sz w:val="23"/>
          <w:szCs w:val="23"/>
        </w:rPr>
        <w:t xml:space="preserve">The table below summarises the market power analysis presented in the Consultation Paper. </w:t>
      </w:r>
      <w:r w:rsidR="00544A7A" w:rsidRPr="00AF181E">
        <w:rPr>
          <w:rFonts w:asciiTheme="minorHAnsi" w:hAnsiTheme="minorHAnsi"/>
          <w:sz w:val="23"/>
          <w:szCs w:val="23"/>
        </w:rPr>
        <w:t xml:space="preserve">As has been stated previously </w:t>
      </w:r>
      <w:r w:rsidR="004F029F">
        <w:rPr>
          <w:rFonts w:asciiTheme="minorHAnsi" w:hAnsiTheme="minorHAnsi"/>
          <w:sz w:val="23"/>
          <w:szCs w:val="23"/>
        </w:rPr>
        <w:t>AES believes</w:t>
      </w:r>
      <w:r w:rsidR="00544A7A" w:rsidRPr="00AF181E">
        <w:rPr>
          <w:rFonts w:asciiTheme="minorHAnsi" w:hAnsiTheme="minorHAnsi"/>
          <w:sz w:val="23"/>
          <w:szCs w:val="23"/>
        </w:rPr>
        <w:t xml:space="preserve"> that it is inappropriate to consider market power on the </w:t>
      </w:r>
      <w:r w:rsidR="00E11DCD">
        <w:rPr>
          <w:rFonts w:asciiTheme="minorHAnsi" w:hAnsiTheme="minorHAnsi"/>
          <w:sz w:val="23"/>
          <w:szCs w:val="23"/>
        </w:rPr>
        <w:t>basis of Scenario 1 (contracted and uncontracted units combined</w:t>
      </w:r>
      <w:r w:rsidR="00544A7A" w:rsidRPr="00AF181E">
        <w:rPr>
          <w:rFonts w:asciiTheme="minorHAnsi" w:hAnsiTheme="minorHAnsi"/>
          <w:sz w:val="23"/>
          <w:szCs w:val="23"/>
        </w:rPr>
        <w:t>).</w:t>
      </w:r>
      <w:r w:rsidR="009570F5" w:rsidRPr="00AF181E">
        <w:rPr>
          <w:rFonts w:asciiTheme="minorHAnsi" w:hAnsiTheme="minorHAnsi"/>
          <w:sz w:val="23"/>
          <w:szCs w:val="23"/>
        </w:rPr>
        <w:t xml:space="preserve"> </w:t>
      </w:r>
    </w:p>
    <w:p w:rsidR="00DD6217" w:rsidRPr="00AF181E" w:rsidRDefault="00DD6217" w:rsidP="004E3F49">
      <w:pPr>
        <w:pStyle w:val="Default"/>
        <w:jc w:val="both"/>
        <w:rPr>
          <w:rFonts w:asciiTheme="minorHAnsi" w:hAnsiTheme="minorHAnsi"/>
          <w:sz w:val="23"/>
          <w:szCs w:val="23"/>
        </w:rPr>
      </w:pPr>
    </w:p>
    <w:tbl>
      <w:tblPr>
        <w:tblStyle w:val="TableGrid"/>
        <w:tblW w:w="0" w:type="auto"/>
        <w:tblInd w:w="1809" w:type="dxa"/>
        <w:tblLook w:val="04A0"/>
      </w:tblPr>
      <w:tblGrid>
        <w:gridCol w:w="2127"/>
        <w:gridCol w:w="1842"/>
        <w:gridCol w:w="1843"/>
      </w:tblGrid>
      <w:tr w:rsidR="004D3B80" w:rsidRPr="00AF181E" w:rsidTr="004D3B80">
        <w:tc>
          <w:tcPr>
            <w:tcW w:w="2127" w:type="dxa"/>
          </w:tcPr>
          <w:p w:rsidR="004D3B80" w:rsidRPr="00787F16" w:rsidRDefault="004D3B80" w:rsidP="004D3B80">
            <w:pPr>
              <w:pStyle w:val="Default"/>
              <w:jc w:val="both"/>
              <w:rPr>
                <w:rFonts w:asciiTheme="minorHAnsi" w:hAnsiTheme="minorHAnsi"/>
                <w:b/>
                <w:sz w:val="23"/>
                <w:szCs w:val="23"/>
              </w:rPr>
            </w:pPr>
            <w:r w:rsidRPr="00787F16">
              <w:rPr>
                <w:rFonts w:asciiTheme="minorHAnsi" w:hAnsiTheme="minorHAnsi"/>
                <w:b/>
                <w:sz w:val="23"/>
                <w:szCs w:val="23"/>
              </w:rPr>
              <w:t>Capacity</w:t>
            </w:r>
          </w:p>
        </w:tc>
        <w:tc>
          <w:tcPr>
            <w:tcW w:w="1842" w:type="dxa"/>
          </w:tcPr>
          <w:p w:rsidR="004D3B80" w:rsidRPr="00787F16" w:rsidRDefault="004F029F" w:rsidP="004D3B80">
            <w:pPr>
              <w:pStyle w:val="Default"/>
              <w:jc w:val="center"/>
              <w:rPr>
                <w:rFonts w:asciiTheme="minorHAnsi" w:hAnsiTheme="minorHAnsi"/>
                <w:b/>
                <w:sz w:val="23"/>
                <w:szCs w:val="23"/>
              </w:rPr>
            </w:pPr>
            <w:r>
              <w:rPr>
                <w:rFonts w:asciiTheme="minorHAnsi" w:hAnsiTheme="minorHAnsi"/>
                <w:b/>
                <w:sz w:val="23"/>
                <w:szCs w:val="23"/>
              </w:rPr>
              <w:t>NI</w:t>
            </w:r>
          </w:p>
        </w:tc>
        <w:tc>
          <w:tcPr>
            <w:tcW w:w="1843" w:type="dxa"/>
          </w:tcPr>
          <w:p w:rsidR="004D3B80" w:rsidRPr="00787F16" w:rsidRDefault="004D3B80" w:rsidP="004D3B80">
            <w:pPr>
              <w:pStyle w:val="Default"/>
              <w:jc w:val="center"/>
              <w:rPr>
                <w:rFonts w:asciiTheme="minorHAnsi" w:hAnsiTheme="minorHAnsi"/>
                <w:b/>
                <w:sz w:val="23"/>
                <w:szCs w:val="23"/>
              </w:rPr>
            </w:pPr>
          </w:p>
        </w:tc>
      </w:tr>
      <w:tr w:rsidR="004D3B80" w:rsidRPr="00AF181E" w:rsidTr="004D3B80">
        <w:tc>
          <w:tcPr>
            <w:tcW w:w="2127" w:type="dxa"/>
          </w:tcPr>
          <w:p w:rsidR="004D3B80" w:rsidRPr="00787F16" w:rsidRDefault="004D3B80" w:rsidP="004D3B80">
            <w:pPr>
              <w:autoSpaceDE w:val="0"/>
              <w:autoSpaceDN w:val="0"/>
              <w:adjustRightInd w:val="0"/>
              <w:jc w:val="both"/>
              <w:rPr>
                <w:rFonts w:cs="Calibri"/>
                <w:sz w:val="23"/>
                <w:szCs w:val="23"/>
                <w:lang w:val="en-US"/>
              </w:rPr>
            </w:pPr>
            <w:r w:rsidRPr="00787F16">
              <w:rPr>
                <w:rFonts w:cs="Calibri"/>
                <w:sz w:val="23"/>
                <w:szCs w:val="23"/>
                <w:lang w:val="en-US"/>
              </w:rPr>
              <w:t>PPB (contracted)</w:t>
            </w:r>
          </w:p>
        </w:tc>
        <w:tc>
          <w:tcPr>
            <w:tcW w:w="1842" w:type="dxa"/>
          </w:tcPr>
          <w:p w:rsidR="004D3B80" w:rsidRPr="00787F16" w:rsidRDefault="004D3B80" w:rsidP="004D3B80">
            <w:pPr>
              <w:pStyle w:val="Default"/>
              <w:jc w:val="center"/>
              <w:rPr>
                <w:rFonts w:asciiTheme="minorHAnsi" w:hAnsiTheme="minorHAnsi"/>
                <w:sz w:val="23"/>
                <w:szCs w:val="23"/>
              </w:rPr>
            </w:pPr>
            <w:r w:rsidRPr="00787F16">
              <w:rPr>
                <w:rFonts w:asciiTheme="minorHAnsi" w:hAnsiTheme="minorHAnsi"/>
                <w:sz w:val="23"/>
                <w:szCs w:val="23"/>
              </w:rPr>
              <w:t>33%</w:t>
            </w:r>
          </w:p>
        </w:tc>
        <w:tc>
          <w:tcPr>
            <w:tcW w:w="1843" w:type="dxa"/>
          </w:tcPr>
          <w:p w:rsidR="004D3B80" w:rsidRPr="00787F16" w:rsidRDefault="004D3B80" w:rsidP="004D3B80">
            <w:pPr>
              <w:pStyle w:val="Default"/>
              <w:jc w:val="center"/>
              <w:rPr>
                <w:rFonts w:asciiTheme="minorHAnsi" w:hAnsiTheme="minorHAnsi"/>
                <w:sz w:val="23"/>
                <w:szCs w:val="23"/>
              </w:rPr>
            </w:pPr>
          </w:p>
        </w:tc>
      </w:tr>
      <w:tr w:rsidR="004D3B80" w:rsidRPr="00AF181E" w:rsidTr="004D3B80">
        <w:tc>
          <w:tcPr>
            <w:tcW w:w="2127" w:type="dxa"/>
          </w:tcPr>
          <w:p w:rsidR="004D3B80" w:rsidRPr="00787F16" w:rsidRDefault="004D3B80" w:rsidP="004D3B80">
            <w:pPr>
              <w:autoSpaceDE w:val="0"/>
              <w:autoSpaceDN w:val="0"/>
              <w:adjustRightInd w:val="0"/>
              <w:jc w:val="both"/>
              <w:rPr>
                <w:rFonts w:cs="Calibri"/>
                <w:sz w:val="23"/>
                <w:szCs w:val="23"/>
                <w:lang w:val="en-US"/>
              </w:rPr>
            </w:pPr>
            <w:r w:rsidRPr="00787F16">
              <w:rPr>
                <w:rFonts w:cs="Calibri"/>
                <w:sz w:val="23"/>
                <w:szCs w:val="23"/>
                <w:lang w:val="en-US"/>
              </w:rPr>
              <w:t>AES (uncontracted)</w:t>
            </w:r>
          </w:p>
        </w:tc>
        <w:tc>
          <w:tcPr>
            <w:tcW w:w="1842" w:type="dxa"/>
          </w:tcPr>
          <w:p w:rsidR="004D3B80" w:rsidRPr="00787F16" w:rsidRDefault="004D3B80" w:rsidP="004D3B80">
            <w:pPr>
              <w:pStyle w:val="Default"/>
              <w:jc w:val="center"/>
              <w:rPr>
                <w:rFonts w:asciiTheme="minorHAnsi" w:hAnsiTheme="minorHAnsi"/>
                <w:sz w:val="23"/>
                <w:szCs w:val="23"/>
              </w:rPr>
            </w:pPr>
            <w:r w:rsidRPr="00787F16">
              <w:rPr>
                <w:rFonts w:asciiTheme="minorHAnsi" w:hAnsiTheme="minorHAnsi"/>
                <w:sz w:val="23"/>
                <w:szCs w:val="23"/>
              </w:rPr>
              <w:t>30%</w:t>
            </w:r>
          </w:p>
        </w:tc>
        <w:tc>
          <w:tcPr>
            <w:tcW w:w="1843" w:type="dxa"/>
          </w:tcPr>
          <w:p w:rsidR="004D3B80" w:rsidRPr="00787F16" w:rsidRDefault="004D3B80" w:rsidP="004D3B80">
            <w:pPr>
              <w:pStyle w:val="Default"/>
              <w:jc w:val="center"/>
              <w:rPr>
                <w:rFonts w:asciiTheme="minorHAnsi" w:hAnsiTheme="minorHAnsi"/>
                <w:sz w:val="23"/>
                <w:szCs w:val="23"/>
              </w:rPr>
            </w:pPr>
          </w:p>
        </w:tc>
      </w:tr>
      <w:tr w:rsidR="004D3B80" w:rsidRPr="00AF181E" w:rsidTr="004D3B80">
        <w:tc>
          <w:tcPr>
            <w:tcW w:w="2127" w:type="dxa"/>
          </w:tcPr>
          <w:p w:rsidR="004D3B80" w:rsidRPr="00787F16" w:rsidRDefault="004D3B80" w:rsidP="004D3B80">
            <w:pPr>
              <w:pStyle w:val="Default"/>
              <w:jc w:val="both"/>
              <w:rPr>
                <w:rFonts w:asciiTheme="minorHAnsi" w:hAnsiTheme="minorHAnsi"/>
                <w:b/>
                <w:sz w:val="23"/>
                <w:szCs w:val="23"/>
              </w:rPr>
            </w:pPr>
          </w:p>
        </w:tc>
        <w:tc>
          <w:tcPr>
            <w:tcW w:w="1842" w:type="dxa"/>
          </w:tcPr>
          <w:p w:rsidR="004D3B80" w:rsidRPr="00787F16" w:rsidRDefault="004D3B80" w:rsidP="004D3B80">
            <w:pPr>
              <w:pStyle w:val="Default"/>
              <w:jc w:val="center"/>
              <w:rPr>
                <w:rFonts w:asciiTheme="minorHAnsi" w:hAnsiTheme="minorHAnsi"/>
                <w:sz w:val="23"/>
                <w:szCs w:val="23"/>
              </w:rPr>
            </w:pPr>
          </w:p>
        </w:tc>
        <w:tc>
          <w:tcPr>
            <w:tcW w:w="1843" w:type="dxa"/>
          </w:tcPr>
          <w:p w:rsidR="004D3B80" w:rsidRPr="00787F16" w:rsidRDefault="004D3B80" w:rsidP="004D3B80">
            <w:pPr>
              <w:pStyle w:val="Default"/>
              <w:jc w:val="center"/>
              <w:rPr>
                <w:rFonts w:asciiTheme="minorHAnsi" w:hAnsiTheme="minorHAnsi"/>
                <w:sz w:val="23"/>
                <w:szCs w:val="23"/>
              </w:rPr>
            </w:pPr>
          </w:p>
        </w:tc>
      </w:tr>
      <w:tr w:rsidR="004D3B80" w:rsidRPr="00AF181E" w:rsidTr="004D3B80">
        <w:tc>
          <w:tcPr>
            <w:tcW w:w="2127" w:type="dxa"/>
          </w:tcPr>
          <w:p w:rsidR="004D3B80" w:rsidRPr="00787F16" w:rsidRDefault="004D3B80" w:rsidP="004D3B80">
            <w:pPr>
              <w:pStyle w:val="Default"/>
              <w:jc w:val="both"/>
              <w:rPr>
                <w:rFonts w:asciiTheme="minorHAnsi" w:hAnsiTheme="minorHAnsi"/>
                <w:b/>
                <w:sz w:val="23"/>
                <w:szCs w:val="23"/>
              </w:rPr>
            </w:pPr>
            <w:r w:rsidRPr="00787F16">
              <w:rPr>
                <w:rFonts w:asciiTheme="minorHAnsi" w:hAnsiTheme="minorHAnsi"/>
                <w:b/>
                <w:sz w:val="23"/>
                <w:szCs w:val="23"/>
              </w:rPr>
              <w:t>Energy</w:t>
            </w:r>
          </w:p>
        </w:tc>
        <w:tc>
          <w:tcPr>
            <w:tcW w:w="1842" w:type="dxa"/>
          </w:tcPr>
          <w:p w:rsidR="004D3B80" w:rsidRPr="00787F16" w:rsidRDefault="004D3B80" w:rsidP="004D3B80">
            <w:pPr>
              <w:pStyle w:val="Default"/>
              <w:jc w:val="center"/>
              <w:rPr>
                <w:rFonts w:asciiTheme="minorHAnsi" w:hAnsiTheme="minorHAnsi"/>
                <w:sz w:val="23"/>
                <w:szCs w:val="23"/>
              </w:rPr>
            </w:pPr>
          </w:p>
        </w:tc>
        <w:tc>
          <w:tcPr>
            <w:tcW w:w="1843" w:type="dxa"/>
          </w:tcPr>
          <w:p w:rsidR="004D3B80" w:rsidRPr="00787F16" w:rsidRDefault="004D3B80" w:rsidP="004D3B80">
            <w:pPr>
              <w:pStyle w:val="Default"/>
              <w:jc w:val="center"/>
              <w:rPr>
                <w:rFonts w:asciiTheme="minorHAnsi" w:hAnsiTheme="minorHAnsi"/>
                <w:sz w:val="23"/>
                <w:szCs w:val="23"/>
              </w:rPr>
            </w:pPr>
          </w:p>
        </w:tc>
      </w:tr>
      <w:tr w:rsidR="004D3B80" w:rsidRPr="00AF181E" w:rsidTr="004D3B80">
        <w:tc>
          <w:tcPr>
            <w:tcW w:w="2127" w:type="dxa"/>
          </w:tcPr>
          <w:p w:rsidR="004D3B80" w:rsidRPr="00787F16" w:rsidRDefault="004D3B80" w:rsidP="004D3B80">
            <w:pPr>
              <w:autoSpaceDE w:val="0"/>
              <w:autoSpaceDN w:val="0"/>
              <w:adjustRightInd w:val="0"/>
              <w:jc w:val="both"/>
              <w:rPr>
                <w:rFonts w:cs="Calibri"/>
                <w:sz w:val="23"/>
                <w:szCs w:val="23"/>
                <w:lang w:val="en-US"/>
              </w:rPr>
            </w:pPr>
            <w:r w:rsidRPr="00787F16">
              <w:rPr>
                <w:rFonts w:cs="Calibri"/>
                <w:sz w:val="23"/>
                <w:szCs w:val="23"/>
                <w:lang w:val="en-US"/>
              </w:rPr>
              <w:t>PPB (contracted)</w:t>
            </w:r>
          </w:p>
        </w:tc>
        <w:tc>
          <w:tcPr>
            <w:tcW w:w="1842" w:type="dxa"/>
          </w:tcPr>
          <w:p w:rsidR="004D3B80" w:rsidRPr="00787F16" w:rsidRDefault="004D3B80" w:rsidP="004D3B80">
            <w:pPr>
              <w:pStyle w:val="Default"/>
              <w:jc w:val="center"/>
              <w:rPr>
                <w:rFonts w:asciiTheme="minorHAnsi" w:hAnsiTheme="minorHAnsi"/>
                <w:sz w:val="23"/>
                <w:szCs w:val="23"/>
              </w:rPr>
            </w:pPr>
            <w:r w:rsidRPr="00787F16">
              <w:rPr>
                <w:rFonts w:asciiTheme="minorHAnsi" w:hAnsiTheme="minorHAnsi"/>
                <w:sz w:val="23"/>
                <w:szCs w:val="23"/>
              </w:rPr>
              <w:t>18%</w:t>
            </w:r>
          </w:p>
        </w:tc>
        <w:tc>
          <w:tcPr>
            <w:tcW w:w="1843" w:type="dxa"/>
          </w:tcPr>
          <w:p w:rsidR="004D3B80" w:rsidRPr="00787F16" w:rsidRDefault="004D3B80" w:rsidP="004D3B80">
            <w:pPr>
              <w:pStyle w:val="Default"/>
              <w:jc w:val="center"/>
              <w:rPr>
                <w:rFonts w:asciiTheme="minorHAnsi" w:hAnsiTheme="minorHAnsi"/>
                <w:sz w:val="23"/>
                <w:szCs w:val="23"/>
              </w:rPr>
            </w:pPr>
          </w:p>
        </w:tc>
      </w:tr>
      <w:tr w:rsidR="004D3B80" w:rsidRPr="00AF181E" w:rsidTr="004D3B80">
        <w:tc>
          <w:tcPr>
            <w:tcW w:w="2127" w:type="dxa"/>
          </w:tcPr>
          <w:p w:rsidR="004D3B80" w:rsidRPr="00787F16" w:rsidRDefault="004D3B80" w:rsidP="004D3B80">
            <w:pPr>
              <w:autoSpaceDE w:val="0"/>
              <w:autoSpaceDN w:val="0"/>
              <w:adjustRightInd w:val="0"/>
              <w:jc w:val="both"/>
              <w:rPr>
                <w:rFonts w:cs="Calibri"/>
                <w:sz w:val="23"/>
                <w:szCs w:val="23"/>
                <w:lang w:val="en-US"/>
              </w:rPr>
            </w:pPr>
            <w:r w:rsidRPr="00787F16">
              <w:rPr>
                <w:rFonts w:cs="Calibri"/>
                <w:sz w:val="23"/>
                <w:szCs w:val="23"/>
                <w:lang w:val="en-US"/>
              </w:rPr>
              <w:t>AES (uncontracted)</w:t>
            </w:r>
          </w:p>
        </w:tc>
        <w:tc>
          <w:tcPr>
            <w:tcW w:w="1842" w:type="dxa"/>
          </w:tcPr>
          <w:p w:rsidR="004D3B80" w:rsidRPr="00787F16" w:rsidRDefault="004D3B80" w:rsidP="004D3B80">
            <w:pPr>
              <w:pStyle w:val="Default"/>
              <w:jc w:val="center"/>
              <w:rPr>
                <w:rFonts w:asciiTheme="minorHAnsi" w:hAnsiTheme="minorHAnsi"/>
                <w:sz w:val="23"/>
                <w:szCs w:val="23"/>
              </w:rPr>
            </w:pPr>
            <w:r w:rsidRPr="00787F16">
              <w:rPr>
                <w:rFonts w:asciiTheme="minorHAnsi" w:hAnsiTheme="minorHAnsi"/>
                <w:sz w:val="23"/>
                <w:szCs w:val="23"/>
              </w:rPr>
              <w:t>12%</w:t>
            </w:r>
          </w:p>
        </w:tc>
        <w:tc>
          <w:tcPr>
            <w:tcW w:w="1843" w:type="dxa"/>
          </w:tcPr>
          <w:p w:rsidR="004D3B80" w:rsidRPr="00787F16" w:rsidRDefault="004D3B80" w:rsidP="004D3B80">
            <w:pPr>
              <w:pStyle w:val="Default"/>
              <w:jc w:val="center"/>
              <w:rPr>
                <w:rFonts w:asciiTheme="minorHAnsi" w:hAnsiTheme="minorHAnsi"/>
                <w:sz w:val="23"/>
                <w:szCs w:val="23"/>
              </w:rPr>
            </w:pPr>
          </w:p>
        </w:tc>
      </w:tr>
      <w:tr w:rsidR="004D3B80" w:rsidRPr="00AF181E" w:rsidTr="004D3B80">
        <w:tc>
          <w:tcPr>
            <w:tcW w:w="2127" w:type="dxa"/>
          </w:tcPr>
          <w:p w:rsidR="004D3B80" w:rsidRPr="00787F16" w:rsidRDefault="004D3B80" w:rsidP="004D3B80">
            <w:pPr>
              <w:pStyle w:val="Default"/>
              <w:jc w:val="both"/>
              <w:rPr>
                <w:rFonts w:asciiTheme="minorHAnsi" w:hAnsiTheme="minorHAnsi"/>
                <w:b/>
                <w:sz w:val="23"/>
                <w:szCs w:val="23"/>
              </w:rPr>
            </w:pPr>
          </w:p>
        </w:tc>
        <w:tc>
          <w:tcPr>
            <w:tcW w:w="1842" w:type="dxa"/>
          </w:tcPr>
          <w:p w:rsidR="004D3B80" w:rsidRPr="00787F16" w:rsidRDefault="004D3B80" w:rsidP="004D3B80">
            <w:pPr>
              <w:pStyle w:val="Default"/>
              <w:jc w:val="center"/>
              <w:rPr>
                <w:rFonts w:asciiTheme="minorHAnsi" w:hAnsiTheme="minorHAnsi"/>
                <w:b/>
                <w:sz w:val="23"/>
                <w:szCs w:val="23"/>
              </w:rPr>
            </w:pPr>
          </w:p>
        </w:tc>
        <w:tc>
          <w:tcPr>
            <w:tcW w:w="1843" w:type="dxa"/>
          </w:tcPr>
          <w:p w:rsidR="004D3B80" w:rsidRPr="00787F16" w:rsidRDefault="004D3B80" w:rsidP="004D3B80">
            <w:pPr>
              <w:pStyle w:val="Default"/>
              <w:jc w:val="center"/>
              <w:rPr>
                <w:rFonts w:asciiTheme="minorHAnsi" w:hAnsiTheme="minorHAnsi"/>
                <w:b/>
                <w:sz w:val="23"/>
                <w:szCs w:val="23"/>
              </w:rPr>
            </w:pPr>
          </w:p>
        </w:tc>
      </w:tr>
      <w:tr w:rsidR="004D3B80" w:rsidRPr="00AF181E" w:rsidTr="004D3B80">
        <w:tc>
          <w:tcPr>
            <w:tcW w:w="2127" w:type="dxa"/>
          </w:tcPr>
          <w:p w:rsidR="004D3B80" w:rsidRPr="00787F16" w:rsidRDefault="004D3B80" w:rsidP="004D3B80">
            <w:pPr>
              <w:pStyle w:val="Default"/>
              <w:jc w:val="both"/>
              <w:rPr>
                <w:rFonts w:asciiTheme="minorHAnsi" w:hAnsiTheme="minorHAnsi"/>
                <w:b/>
                <w:sz w:val="23"/>
                <w:szCs w:val="23"/>
              </w:rPr>
            </w:pPr>
          </w:p>
        </w:tc>
        <w:tc>
          <w:tcPr>
            <w:tcW w:w="1842" w:type="dxa"/>
          </w:tcPr>
          <w:p w:rsidR="004D3B80" w:rsidRPr="00787F16" w:rsidRDefault="004D3B80" w:rsidP="004D3B80">
            <w:pPr>
              <w:pStyle w:val="Default"/>
              <w:jc w:val="center"/>
              <w:rPr>
                <w:rFonts w:asciiTheme="minorHAnsi" w:hAnsiTheme="minorHAnsi"/>
                <w:b/>
                <w:sz w:val="23"/>
                <w:szCs w:val="23"/>
              </w:rPr>
            </w:pPr>
          </w:p>
        </w:tc>
        <w:tc>
          <w:tcPr>
            <w:tcW w:w="1843" w:type="dxa"/>
          </w:tcPr>
          <w:p w:rsidR="004D3B80" w:rsidRPr="00787F16" w:rsidRDefault="004D3B80" w:rsidP="004D3B80">
            <w:pPr>
              <w:pStyle w:val="Default"/>
              <w:jc w:val="center"/>
              <w:rPr>
                <w:rFonts w:asciiTheme="minorHAnsi" w:hAnsiTheme="minorHAnsi"/>
                <w:b/>
                <w:sz w:val="23"/>
                <w:szCs w:val="23"/>
              </w:rPr>
            </w:pPr>
          </w:p>
        </w:tc>
      </w:tr>
      <w:tr w:rsidR="004D3B80" w:rsidRPr="00AF181E" w:rsidTr="004D3B80">
        <w:tc>
          <w:tcPr>
            <w:tcW w:w="2127" w:type="dxa"/>
          </w:tcPr>
          <w:p w:rsidR="004D3B80" w:rsidRPr="00787F16" w:rsidRDefault="004D3B80" w:rsidP="004D3B80">
            <w:pPr>
              <w:pStyle w:val="Default"/>
              <w:jc w:val="both"/>
              <w:rPr>
                <w:rFonts w:asciiTheme="minorHAnsi" w:hAnsiTheme="minorHAnsi"/>
                <w:b/>
                <w:sz w:val="23"/>
                <w:szCs w:val="23"/>
              </w:rPr>
            </w:pPr>
            <w:r w:rsidRPr="00787F16">
              <w:rPr>
                <w:rFonts w:asciiTheme="minorHAnsi" w:hAnsiTheme="minorHAnsi"/>
                <w:b/>
                <w:sz w:val="23"/>
                <w:szCs w:val="23"/>
              </w:rPr>
              <w:t>HHI by Capacity</w:t>
            </w:r>
          </w:p>
        </w:tc>
        <w:tc>
          <w:tcPr>
            <w:tcW w:w="1842" w:type="dxa"/>
          </w:tcPr>
          <w:p w:rsidR="004D3B80" w:rsidRPr="00787F16" w:rsidRDefault="004D3B80" w:rsidP="004D3B80">
            <w:pPr>
              <w:pStyle w:val="Default"/>
              <w:jc w:val="center"/>
              <w:rPr>
                <w:rFonts w:asciiTheme="minorHAnsi" w:hAnsiTheme="minorHAnsi"/>
                <w:b/>
                <w:sz w:val="23"/>
                <w:szCs w:val="23"/>
              </w:rPr>
            </w:pPr>
            <w:r w:rsidRPr="00787F16">
              <w:rPr>
                <w:rFonts w:asciiTheme="minorHAnsi" w:hAnsiTheme="minorHAnsi"/>
                <w:b/>
                <w:sz w:val="23"/>
                <w:szCs w:val="23"/>
              </w:rPr>
              <w:t>NI</w:t>
            </w:r>
          </w:p>
        </w:tc>
        <w:tc>
          <w:tcPr>
            <w:tcW w:w="1843" w:type="dxa"/>
          </w:tcPr>
          <w:p w:rsidR="004D3B80" w:rsidRPr="00787F16" w:rsidRDefault="004D3B80" w:rsidP="004D3B80">
            <w:pPr>
              <w:pStyle w:val="Default"/>
              <w:jc w:val="center"/>
              <w:rPr>
                <w:rFonts w:asciiTheme="minorHAnsi" w:hAnsiTheme="minorHAnsi"/>
                <w:b/>
                <w:sz w:val="23"/>
                <w:szCs w:val="23"/>
              </w:rPr>
            </w:pPr>
            <w:r w:rsidRPr="00787F16">
              <w:rPr>
                <w:rFonts w:asciiTheme="minorHAnsi" w:hAnsiTheme="minorHAnsi"/>
                <w:b/>
                <w:sz w:val="23"/>
                <w:szCs w:val="23"/>
              </w:rPr>
              <w:t>% Change</w:t>
            </w:r>
          </w:p>
        </w:tc>
      </w:tr>
      <w:tr w:rsidR="004D3B80" w:rsidRPr="00AF181E" w:rsidTr="004D3B80">
        <w:tc>
          <w:tcPr>
            <w:tcW w:w="2127" w:type="dxa"/>
          </w:tcPr>
          <w:p w:rsidR="004D3B80" w:rsidRPr="00787F16" w:rsidRDefault="004D3B80" w:rsidP="004D3B80">
            <w:pPr>
              <w:pStyle w:val="Default"/>
              <w:jc w:val="both"/>
              <w:rPr>
                <w:rFonts w:asciiTheme="minorHAnsi" w:hAnsiTheme="minorHAnsi"/>
                <w:sz w:val="23"/>
                <w:szCs w:val="23"/>
              </w:rPr>
            </w:pPr>
            <w:r w:rsidRPr="00787F16">
              <w:rPr>
                <w:rFonts w:asciiTheme="minorHAnsi" w:hAnsiTheme="minorHAnsi"/>
                <w:sz w:val="23"/>
                <w:szCs w:val="23"/>
              </w:rPr>
              <w:t>Pre Acquisition</w:t>
            </w:r>
          </w:p>
        </w:tc>
        <w:tc>
          <w:tcPr>
            <w:tcW w:w="1842" w:type="dxa"/>
          </w:tcPr>
          <w:p w:rsidR="004D3B80" w:rsidRPr="00787F16" w:rsidRDefault="004D3B80" w:rsidP="004D3B80">
            <w:pPr>
              <w:pStyle w:val="Default"/>
              <w:jc w:val="center"/>
              <w:rPr>
                <w:rFonts w:asciiTheme="minorHAnsi" w:hAnsiTheme="minorHAnsi"/>
                <w:sz w:val="23"/>
                <w:szCs w:val="23"/>
              </w:rPr>
            </w:pPr>
            <w:r w:rsidRPr="00787F16">
              <w:rPr>
                <w:rFonts w:asciiTheme="minorHAnsi" w:hAnsiTheme="minorHAnsi"/>
                <w:sz w:val="23"/>
                <w:szCs w:val="23"/>
              </w:rPr>
              <w:t>2,059</w:t>
            </w:r>
          </w:p>
        </w:tc>
        <w:tc>
          <w:tcPr>
            <w:tcW w:w="1843" w:type="dxa"/>
          </w:tcPr>
          <w:p w:rsidR="004D3B80" w:rsidRPr="00787F16" w:rsidRDefault="004D3B80" w:rsidP="004D3B80">
            <w:pPr>
              <w:pStyle w:val="Default"/>
              <w:jc w:val="center"/>
              <w:rPr>
                <w:rFonts w:asciiTheme="minorHAnsi" w:hAnsiTheme="minorHAnsi"/>
                <w:sz w:val="23"/>
                <w:szCs w:val="23"/>
              </w:rPr>
            </w:pPr>
          </w:p>
        </w:tc>
      </w:tr>
      <w:tr w:rsidR="004D3B80" w:rsidRPr="00AF181E" w:rsidTr="004D3B80">
        <w:tc>
          <w:tcPr>
            <w:tcW w:w="2127" w:type="dxa"/>
          </w:tcPr>
          <w:p w:rsidR="004D3B80" w:rsidRPr="00787F16" w:rsidRDefault="004D3B80" w:rsidP="004D3B80">
            <w:pPr>
              <w:pStyle w:val="Default"/>
              <w:jc w:val="both"/>
              <w:rPr>
                <w:rFonts w:asciiTheme="minorHAnsi" w:hAnsiTheme="minorHAnsi"/>
                <w:sz w:val="23"/>
                <w:szCs w:val="23"/>
              </w:rPr>
            </w:pPr>
            <w:r w:rsidRPr="00787F16">
              <w:rPr>
                <w:rFonts w:asciiTheme="minorHAnsi" w:hAnsiTheme="minorHAnsi" w:cs="Calibri-Bold"/>
                <w:bCs/>
                <w:sz w:val="23"/>
                <w:szCs w:val="23"/>
                <w:lang w:val="en-US"/>
              </w:rPr>
              <w:t>Scenario 2</w:t>
            </w:r>
          </w:p>
        </w:tc>
        <w:tc>
          <w:tcPr>
            <w:tcW w:w="1842" w:type="dxa"/>
          </w:tcPr>
          <w:p w:rsidR="004D3B80" w:rsidRPr="00787F16" w:rsidRDefault="004D3B80" w:rsidP="004D3B80">
            <w:pPr>
              <w:pStyle w:val="Default"/>
              <w:jc w:val="center"/>
              <w:rPr>
                <w:rFonts w:asciiTheme="minorHAnsi" w:hAnsiTheme="minorHAnsi"/>
                <w:sz w:val="23"/>
                <w:szCs w:val="23"/>
              </w:rPr>
            </w:pPr>
            <w:r w:rsidRPr="00787F16">
              <w:rPr>
                <w:rFonts w:asciiTheme="minorHAnsi" w:hAnsiTheme="minorHAnsi"/>
                <w:sz w:val="23"/>
                <w:szCs w:val="23"/>
              </w:rPr>
              <w:t>2,490</w:t>
            </w:r>
          </w:p>
        </w:tc>
        <w:tc>
          <w:tcPr>
            <w:tcW w:w="1843" w:type="dxa"/>
          </w:tcPr>
          <w:p w:rsidR="004D3B80" w:rsidRPr="00787F16" w:rsidRDefault="004D3B80" w:rsidP="004D3B80">
            <w:pPr>
              <w:pStyle w:val="Default"/>
              <w:jc w:val="center"/>
              <w:rPr>
                <w:rFonts w:asciiTheme="minorHAnsi" w:hAnsiTheme="minorHAnsi"/>
                <w:sz w:val="23"/>
                <w:szCs w:val="23"/>
              </w:rPr>
            </w:pPr>
            <w:r w:rsidRPr="00787F16">
              <w:rPr>
                <w:rFonts w:asciiTheme="minorHAnsi" w:hAnsiTheme="minorHAnsi"/>
                <w:sz w:val="23"/>
                <w:szCs w:val="23"/>
              </w:rPr>
              <w:t>21%</w:t>
            </w:r>
          </w:p>
        </w:tc>
      </w:tr>
      <w:tr w:rsidR="00787F16" w:rsidRPr="00AF181E" w:rsidTr="004D3B80">
        <w:tc>
          <w:tcPr>
            <w:tcW w:w="2127" w:type="dxa"/>
          </w:tcPr>
          <w:p w:rsidR="00787F16" w:rsidRPr="00787F16" w:rsidRDefault="00787F16" w:rsidP="004D3B80">
            <w:pPr>
              <w:pStyle w:val="Default"/>
              <w:jc w:val="both"/>
              <w:rPr>
                <w:rFonts w:asciiTheme="minorHAnsi" w:hAnsiTheme="minorHAnsi"/>
                <w:sz w:val="23"/>
                <w:szCs w:val="23"/>
              </w:rPr>
            </w:pPr>
            <w:r>
              <w:rPr>
                <w:rFonts w:asciiTheme="minorHAnsi" w:hAnsiTheme="minorHAnsi"/>
                <w:sz w:val="23"/>
                <w:szCs w:val="23"/>
              </w:rPr>
              <w:t>Scenario 1</w:t>
            </w:r>
          </w:p>
        </w:tc>
        <w:tc>
          <w:tcPr>
            <w:tcW w:w="1842" w:type="dxa"/>
          </w:tcPr>
          <w:p w:rsidR="00787F16" w:rsidRPr="00787F16" w:rsidRDefault="00787F16" w:rsidP="004D3B80">
            <w:pPr>
              <w:pStyle w:val="Default"/>
              <w:jc w:val="center"/>
              <w:rPr>
                <w:rFonts w:asciiTheme="minorHAnsi" w:hAnsiTheme="minorHAnsi"/>
                <w:sz w:val="23"/>
                <w:szCs w:val="23"/>
              </w:rPr>
            </w:pPr>
            <w:r>
              <w:rPr>
                <w:rFonts w:asciiTheme="minorHAnsi" w:hAnsiTheme="minorHAnsi"/>
                <w:sz w:val="23"/>
                <w:szCs w:val="23"/>
              </w:rPr>
              <w:t>4,272</w:t>
            </w:r>
          </w:p>
        </w:tc>
        <w:tc>
          <w:tcPr>
            <w:tcW w:w="1843" w:type="dxa"/>
          </w:tcPr>
          <w:p w:rsidR="00787F16" w:rsidRPr="00787F16" w:rsidRDefault="00787F16" w:rsidP="004D3B80">
            <w:pPr>
              <w:pStyle w:val="Default"/>
              <w:jc w:val="center"/>
              <w:rPr>
                <w:rFonts w:asciiTheme="minorHAnsi" w:hAnsiTheme="minorHAnsi"/>
                <w:sz w:val="23"/>
                <w:szCs w:val="23"/>
              </w:rPr>
            </w:pPr>
            <w:r>
              <w:rPr>
                <w:rFonts w:asciiTheme="minorHAnsi" w:hAnsiTheme="minorHAnsi"/>
                <w:sz w:val="23"/>
                <w:szCs w:val="23"/>
              </w:rPr>
              <w:t>108%</w:t>
            </w:r>
          </w:p>
        </w:tc>
      </w:tr>
      <w:tr w:rsidR="004D3B80" w:rsidRPr="00AF181E" w:rsidTr="004D3B80">
        <w:tc>
          <w:tcPr>
            <w:tcW w:w="2127" w:type="dxa"/>
          </w:tcPr>
          <w:p w:rsidR="004D3B80" w:rsidRPr="00787F16" w:rsidRDefault="004D3B80" w:rsidP="004D3B80">
            <w:pPr>
              <w:pStyle w:val="Default"/>
              <w:jc w:val="both"/>
              <w:rPr>
                <w:rFonts w:asciiTheme="minorHAnsi" w:hAnsiTheme="minorHAnsi"/>
                <w:sz w:val="23"/>
                <w:szCs w:val="23"/>
              </w:rPr>
            </w:pPr>
          </w:p>
        </w:tc>
        <w:tc>
          <w:tcPr>
            <w:tcW w:w="1842" w:type="dxa"/>
          </w:tcPr>
          <w:p w:rsidR="004D3B80" w:rsidRPr="00787F16" w:rsidRDefault="004D3B80" w:rsidP="004D3B80">
            <w:pPr>
              <w:pStyle w:val="Default"/>
              <w:jc w:val="center"/>
              <w:rPr>
                <w:rFonts w:asciiTheme="minorHAnsi" w:hAnsiTheme="minorHAnsi"/>
                <w:sz w:val="23"/>
                <w:szCs w:val="23"/>
              </w:rPr>
            </w:pPr>
          </w:p>
        </w:tc>
        <w:tc>
          <w:tcPr>
            <w:tcW w:w="1843" w:type="dxa"/>
          </w:tcPr>
          <w:p w:rsidR="004D3B80" w:rsidRPr="00787F16" w:rsidRDefault="004D3B80" w:rsidP="004D3B80">
            <w:pPr>
              <w:pStyle w:val="Default"/>
              <w:jc w:val="center"/>
              <w:rPr>
                <w:rFonts w:asciiTheme="minorHAnsi" w:hAnsiTheme="minorHAnsi"/>
                <w:sz w:val="23"/>
                <w:szCs w:val="23"/>
              </w:rPr>
            </w:pPr>
          </w:p>
        </w:tc>
      </w:tr>
      <w:tr w:rsidR="004D3B80" w:rsidRPr="00AF181E" w:rsidTr="004D3B80">
        <w:tc>
          <w:tcPr>
            <w:tcW w:w="2127" w:type="dxa"/>
          </w:tcPr>
          <w:p w:rsidR="004D3B80" w:rsidRPr="00787F16" w:rsidRDefault="004D3B80" w:rsidP="004D3B80">
            <w:pPr>
              <w:pStyle w:val="Default"/>
              <w:jc w:val="both"/>
              <w:rPr>
                <w:rFonts w:asciiTheme="minorHAnsi" w:hAnsiTheme="minorHAnsi"/>
                <w:b/>
                <w:sz w:val="23"/>
                <w:szCs w:val="23"/>
              </w:rPr>
            </w:pPr>
            <w:r w:rsidRPr="00787F16">
              <w:rPr>
                <w:rFonts w:asciiTheme="minorHAnsi" w:hAnsiTheme="minorHAnsi"/>
                <w:b/>
                <w:sz w:val="23"/>
                <w:szCs w:val="23"/>
              </w:rPr>
              <w:t>HHI by Energy</w:t>
            </w:r>
          </w:p>
        </w:tc>
        <w:tc>
          <w:tcPr>
            <w:tcW w:w="1842" w:type="dxa"/>
          </w:tcPr>
          <w:p w:rsidR="004D3B80" w:rsidRPr="00787F16" w:rsidRDefault="004D3B80" w:rsidP="004D3B80">
            <w:pPr>
              <w:pStyle w:val="Default"/>
              <w:jc w:val="center"/>
              <w:rPr>
                <w:rFonts w:asciiTheme="minorHAnsi" w:hAnsiTheme="minorHAnsi"/>
                <w:sz w:val="23"/>
                <w:szCs w:val="23"/>
              </w:rPr>
            </w:pPr>
          </w:p>
        </w:tc>
        <w:tc>
          <w:tcPr>
            <w:tcW w:w="1843" w:type="dxa"/>
          </w:tcPr>
          <w:p w:rsidR="004D3B80" w:rsidRPr="00787F16" w:rsidRDefault="004D3B80" w:rsidP="004D3B80">
            <w:pPr>
              <w:pStyle w:val="Default"/>
              <w:jc w:val="center"/>
              <w:rPr>
                <w:rFonts w:asciiTheme="minorHAnsi" w:hAnsiTheme="minorHAnsi"/>
                <w:sz w:val="23"/>
                <w:szCs w:val="23"/>
              </w:rPr>
            </w:pPr>
          </w:p>
        </w:tc>
      </w:tr>
      <w:tr w:rsidR="004D3B80" w:rsidRPr="00AF181E" w:rsidTr="004D3B80">
        <w:tc>
          <w:tcPr>
            <w:tcW w:w="2127" w:type="dxa"/>
          </w:tcPr>
          <w:p w:rsidR="004D3B80" w:rsidRPr="00787F16" w:rsidRDefault="004D3B80" w:rsidP="004D3B80">
            <w:pPr>
              <w:pStyle w:val="Default"/>
              <w:jc w:val="both"/>
              <w:rPr>
                <w:rFonts w:asciiTheme="minorHAnsi" w:hAnsiTheme="minorHAnsi"/>
                <w:sz w:val="23"/>
                <w:szCs w:val="23"/>
              </w:rPr>
            </w:pPr>
            <w:r w:rsidRPr="00787F16">
              <w:rPr>
                <w:rFonts w:asciiTheme="minorHAnsi" w:hAnsiTheme="minorHAnsi"/>
                <w:sz w:val="23"/>
                <w:szCs w:val="23"/>
              </w:rPr>
              <w:t>Pre Acquisition</w:t>
            </w:r>
          </w:p>
        </w:tc>
        <w:tc>
          <w:tcPr>
            <w:tcW w:w="1842" w:type="dxa"/>
          </w:tcPr>
          <w:p w:rsidR="004D3B80" w:rsidRPr="00787F16" w:rsidRDefault="004D3B80" w:rsidP="004D3B80">
            <w:pPr>
              <w:pStyle w:val="Default"/>
              <w:jc w:val="center"/>
              <w:rPr>
                <w:rFonts w:asciiTheme="minorHAnsi" w:hAnsiTheme="minorHAnsi"/>
                <w:sz w:val="23"/>
                <w:szCs w:val="23"/>
              </w:rPr>
            </w:pPr>
            <w:r w:rsidRPr="00787F16">
              <w:rPr>
                <w:rFonts w:asciiTheme="minorHAnsi" w:hAnsiTheme="minorHAnsi"/>
                <w:sz w:val="23"/>
                <w:szCs w:val="23"/>
              </w:rPr>
              <w:t>2,020</w:t>
            </w:r>
          </w:p>
        </w:tc>
        <w:tc>
          <w:tcPr>
            <w:tcW w:w="1843" w:type="dxa"/>
          </w:tcPr>
          <w:p w:rsidR="004D3B80" w:rsidRPr="00787F16" w:rsidRDefault="004D3B80" w:rsidP="004D3B80">
            <w:pPr>
              <w:pStyle w:val="Default"/>
              <w:jc w:val="center"/>
              <w:rPr>
                <w:rFonts w:asciiTheme="minorHAnsi" w:hAnsiTheme="minorHAnsi"/>
                <w:sz w:val="23"/>
                <w:szCs w:val="23"/>
              </w:rPr>
            </w:pPr>
          </w:p>
        </w:tc>
      </w:tr>
      <w:tr w:rsidR="004D3B80" w:rsidRPr="00AF181E" w:rsidTr="004D3B80">
        <w:tc>
          <w:tcPr>
            <w:tcW w:w="2127" w:type="dxa"/>
          </w:tcPr>
          <w:p w:rsidR="004D3B80" w:rsidRPr="00787F16" w:rsidRDefault="004D3B80" w:rsidP="004D3B80">
            <w:pPr>
              <w:pStyle w:val="Default"/>
              <w:jc w:val="both"/>
              <w:rPr>
                <w:rFonts w:asciiTheme="minorHAnsi" w:hAnsiTheme="minorHAnsi"/>
                <w:sz w:val="23"/>
                <w:szCs w:val="23"/>
              </w:rPr>
            </w:pPr>
            <w:r w:rsidRPr="00787F16">
              <w:rPr>
                <w:rFonts w:asciiTheme="minorHAnsi" w:hAnsiTheme="minorHAnsi" w:cs="Calibri-Bold"/>
                <w:bCs/>
                <w:sz w:val="23"/>
                <w:szCs w:val="23"/>
                <w:lang w:val="en-US"/>
              </w:rPr>
              <w:t>Scenario 2</w:t>
            </w:r>
          </w:p>
        </w:tc>
        <w:tc>
          <w:tcPr>
            <w:tcW w:w="1842" w:type="dxa"/>
          </w:tcPr>
          <w:p w:rsidR="004D3B80" w:rsidRPr="00787F16" w:rsidRDefault="004D3B80" w:rsidP="004D3B80">
            <w:pPr>
              <w:pStyle w:val="Default"/>
              <w:jc w:val="center"/>
              <w:rPr>
                <w:rFonts w:asciiTheme="minorHAnsi" w:hAnsiTheme="minorHAnsi"/>
                <w:sz w:val="23"/>
                <w:szCs w:val="23"/>
              </w:rPr>
            </w:pPr>
            <w:r w:rsidRPr="00787F16">
              <w:rPr>
                <w:rFonts w:asciiTheme="minorHAnsi" w:hAnsiTheme="minorHAnsi"/>
                <w:sz w:val="23"/>
                <w:szCs w:val="23"/>
              </w:rPr>
              <w:t>2,020</w:t>
            </w:r>
          </w:p>
        </w:tc>
        <w:tc>
          <w:tcPr>
            <w:tcW w:w="1843" w:type="dxa"/>
          </w:tcPr>
          <w:p w:rsidR="004D3B80" w:rsidRPr="00787F16" w:rsidRDefault="004D3B80" w:rsidP="004D3B80">
            <w:pPr>
              <w:pStyle w:val="Default"/>
              <w:jc w:val="center"/>
              <w:rPr>
                <w:rFonts w:asciiTheme="minorHAnsi" w:hAnsiTheme="minorHAnsi"/>
                <w:sz w:val="23"/>
                <w:szCs w:val="23"/>
              </w:rPr>
            </w:pPr>
            <w:r w:rsidRPr="00787F16">
              <w:rPr>
                <w:rFonts w:asciiTheme="minorHAnsi" w:hAnsiTheme="minorHAnsi"/>
                <w:sz w:val="23"/>
                <w:szCs w:val="23"/>
              </w:rPr>
              <w:t>0%</w:t>
            </w:r>
          </w:p>
        </w:tc>
      </w:tr>
      <w:tr w:rsidR="00787F16" w:rsidRPr="00AF181E" w:rsidTr="004D3B80">
        <w:tc>
          <w:tcPr>
            <w:tcW w:w="2127" w:type="dxa"/>
          </w:tcPr>
          <w:p w:rsidR="00787F16" w:rsidRPr="00787F16" w:rsidRDefault="00787F16" w:rsidP="004D3B80">
            <w:pPr>
              <w:pStyle w:val="Default"/>
              <w:jc w:val="both"/>
              <w:rPr>
                <w:rFonts w:asciiTheme="minorHAnsi" w:hAnsiTheme="minorHAnsi" w:cs="Calibri-Bold"/>
                <w:bCs/>
                <w:sz w:val="23"/>
                <w:szCs w:val="23"/>
                <w:lang w:val="en-US"/>
              </w:rPr>
            </w:pPr>
            <w:r>
              <w:rPr>
                <w:rFonts w:asciiTheme="minorHAnsi" w:hAnsiTheme="minorHAnsi" w:cs="Calibri-Bold"/>
                <w:bCs/>
                <w:sz w:val="23"/>
                <w:szCs w:val="23"/>
                <w:lang w:val="en-US"/>
              </w:rPr>
              <w:t>Scenario 1</w:t>
            </w:r>
          </w:p>
        </w:tc>
        <w:tc>
          <w:tcPr>
            <w:tcW w:w="1842" w:type="dxa"/>
          </w:tcPr>
          <w:p w:rsidR="00787F16" w:rsidRPr="00787F16" w:rsidRDefault="00787F16" w:rsidP="004D3B80">
            <w:pPr>
              <w:pStyle w:val="Default"/>
              <w:jc w:val="center"/>
              <w:rPr>
                <w:rFonts w:asciiTheme="minorHAnsi" w:hAnsiTheme="minorHAnsi"/>
                <w:sz w:val="23"/>
                <w:szCs w:val="23"/>
              </w:rPr>
            </w:pPr>
            <w:r>
              <w:rPr>
                <w:rFonts w:asciiTheme="minorHAnsi" w:hAnsiTheme="minorHAnsi"/>
                <w:sz w:val="23"/>
                <w:szCs w:val="23"/>
              </w:rPr>
              <w:t>2,463</w:t>
            </w:r>
          </w:p>
        </w:tc>
        <w:tc>
          <w:tcPr>
            <w:tcW w:w="1843" w:type="dxa"/>
          </w:tcPr>
          <w:p w:rsidR="00787F16" w:rsidRPr="00787F16" w:rsidRDefault="00787F16" w:rsidP="004D3B80">
            <w:pPr>
              <w:pStyle w:val="Default"/>
              <w:jc w:val="center"/>
              <w:rPr>
                <w:rFonts w:asciiTheme="minorHAnsi" w:hAnsiTheme="minorHAnsi"/>
                <w:sz w:val="23"/>
                <w:szCs w:val="23"/>
              </w:rPr>
            </w:pPr>
            <w:r>
              <w:rPr>
                <w:rFonts w:asciiTheme="minorHAnsi" w:hAnsiTheme="minorHAnsi"/>
                <w:sz w:val="23"/>
                <w:szCs w:val="23"/>
              </w:rPr>
              <w:t>22%</w:t>
            </w:r>
          </w:p>
        </w:tc>
      </w:tr>
    </w:tbl>
    <w:p w:rsidR="00DD6217" w:rsidRPr="00AF181E" w:rsidRDefault="00DD6217" w:rsidP="004E3F49">
      <w:pPr>
        <w:pStyle w:val="Default"/>
        <w:jc w:val="both"/>
        <w:rPr>
          <w:rFonts w:asciiTheme="minorHAnsi" w:hAnsiTheme="minorHAnsi"/>
          <w:sz w:val="23"/>
          <w:szCs w:val="23"/>
        </w:rPr>
      </w:pPr>
    </w:p>
    <w:p w:rsidR="000F4175" w:rsidRPr="00AF181E" w:rsidRDefault="00E11DCD" w:rsidP="002E39B5">
      <w:pPr>
        <w:pStyle w:val="BodyText"/>
        <w:rPr>
          <w:rFonts w:asciiTheme="minorHAnsi" w:hAnsiTheme="minorHAnsi"/>
          <w:sz w:val="23"/>
          <w:szCs w:val="23"/>
        </w:rPr>
      </w:pPr>
      <w:r>
        <w:rPr>
          <w:rFonts w:asciiTheme="minorHAnsi" w:hAnsiTheme="minorHAnsi"/>
          <w:sz w:val="23"/>
          <w:szCs w:val="23"/>
        </w:rPr>
        <w:t>Under Scenario 2 (contracted and uncontracted units separated) t</w:t>
      </w:r>
      <w:r w:rsidR="00AC177C" w:rsidRPr="00AF181E">
        <w:rPr>
          <w:rFonts w:asciiTheme="minorHAnsi" w:hAnsiTheme="minorHAnsi"/>
          <w:sz w:val="23"/>
          <w:szCs w:val="23"/>
        </w:rPr>
        <w:t xml:space="preserve">he </w:t>
      </w:r>
      <w:r w:rsidR="009570F5" w:rsidRPr="00AF181E">
        <w:rPr>
          <w:rFonts w:asciiTheme="minorHAnsi" w:hAnsiTheme="minorHAnsi"/>
          <w:sz w:val="23"/>
          <w:szCs w:val="23"/>
        </w:rPr>
        <w:t xml:space="preserve">table indicates that </w:t>
      </w:r>
      <w:r w:rsidR="004F3E69" w:rsidRPr="00AF181E">
        <w:rPr>
          <w:rFonts w:asciiTheme="minorHAnsi" w:hAnsiTheme="minorHAnsi" w:cs="TTE1A42DC8t00"/>
          <w:sz w:val="23"/>
          <w:szCs w:val="23"/>
        </w:rPr>
        <w:t xml:space="preserve">AES </w:t>
      </w:r>
      <w:r w:rsidR="00AF1E9E" w:rsidRPr="00AF181E">
        <w:rPr>
          <w:rFonts w:asciiTheme="minorHAnsi" w:hAnsiTheme="minorHAnsi" w:cs="TTE1A42DC8t00"/>
          <w:sz w:val="23"/>
          <w:szCs w:val="23"/>
        </w:rPr>
        <w:t>has market power in terms of Northern Ireland capacity but not in Northern Ireland energy</w:t>
      </w:r>
      <w:r w:rsidR="009826AD" w:rsidRPr="00AF181E">
        <w:rPr>
          <w:rFonts w:asciiTheme="minorHAnsi" w:hAnsiTheme="minorHAnsi" w:cs="TTE1A42DC8t00"/>
          <w:sz w:val="23"/>
          <w:szCs w:val="23"/>
        </w:rPr>
        <w:t xml:space="preserve"> (it should also be noted that</w:t>
      </w:r>
      <w:r w:rsidR="009826AD" w:rsidRPr="00AF181E">
        <w:rPr>
          <w:rFonts w:asciiTheme="minorHAnsi" w:hAnsiTheme="minorHAnsi"/>
          <w:sz w:val="23"/>
          <w:szCs w:val="23"/>
        </w:rPr>
        <w:t xml:space="preserve"> </w:t>
      </w:r>
      <w:r w:rsidR="004F029F">
        <w:rPr>
          <w:rFonts w:asciiTheme="minorHAnsi" w:hAnsiTheme="minorHAnsi"/>
          <w:sz w:val="23"/>
          <w:szCs w:val="23"/>
        </w:rPr>
        <w:t>AES’s recent independent</w:t>
      </w:r>
      <w:r w:rsidR="00B806FE" w:rsidRPr="00AF181E">
        <w:rPr>
          <w:rFonts w:asciiTheme="minorHAnsi" w:hAnsiTheme="minorHAnsi"/>
          <w:sz w:val="23"/>
          <w:szCs w:val="23"/>
        </w:rPr>
        <w:t xml:space="preserve"> </w:t>
      </w:r>
      <w:r w:rsidR="009826AD" w:rsidRPr="00AF181E">
        <w:rPr>
          <w:rFonts w:asciiTheme="minorHAnsi" w:hAnsiTheme="minorHAnsi"/>
          <w:sz w:val="23"/>
          <w:szCs w:val="23"/>
        </w:rPr>
        <w:t>forecast</w:t>
      </w:r>
      <w:r w:rsidR="00CE2C1D" w:rsidRPr="00AF181E">
        <w:rPr>
          <w:rFonts w:asciiTheme="minorHAnsi" w:hAnsiTheme="minorHAnsi"/>
          <w:sz w:val="23"/>
          <w:szCs w:val="23"/>
        </w:rPr>
        <w:t xml:space="preserve">s indicate that </w:t>
      </w:r>
      <w:r w:rsidR="009826AD" w:rsidRPr="00AF181E">
        <w:rPr>
          <w:rFonts w:asciiTheme="minorHAnsi" w:hAnsiTheme="minorHAnsi"/>
          <w:sz w:val="23"/>
          <w:szCs w:val="23"/>
        </w:rPr>
        <w:t>AES</w:t>
      </w:r>
      <w:r w:rsidR="00CE2C1D" w:rsidRPr="00AF181E">
        <w:rPr>
          <w:rFonts w:asciiTheme="minorHAnsi" w:hAnsiTheme="minorHAnsi"/>
          <w:sz w:val="23"/>
          <w:szCs w:val="23"/>
        </w:rPr>
        <w:t xml:space="preserve"> would not</w:t>
      </w:r>
      <w:r w:rsidR="009826AD" w:rsidRPr="00AF181E">
        <w:rPr>
          <w:rFonts w:asciiTheme="minorHAnsi" w:hAnsiTheme="minorHAnsi" w:cs="TTE1A42DC8t00"/>
          <w:sz w:val="23"/>
          <w:szCs w:val="23"/>
        </w:rPr>
        <w:t xml:space="preserve"> share any of the unconstrained energy in 2012).</w:t>
      </w:r>
      <w:r w:rsidR="009826AD" w:rsidRPr="00AF181E">
        <w:rPr>
          <w:rFonts w:asciiTheme="minorHAnsi" w:hAnsiTheme="minorHAnsi"/>
          <w:sz w:val="23"/>
          <w:szCs w:val="23"/>
        </w:rPr>
        <w:t xml:space="preserve"> </w:t>
      </w:r>
      <w:r w:rsidR="00B806FE" w:rsidRPr="00AF181E">
        <w:rPr>
          <w:rFonts w:asciiTheme="minorHAnsi" w:hAnsiTheme="minorHAnsi" w:cs="TTE1A42DC8t00"/>
          <w:sz w:val="23"/>
          <w:szCs w:val="23"/>
        </w:rPr>
        <w:t xml:space="preserve"> </w:t>
      </w:r>
      <w:r w:rsidR="00B806FE" w:rsidRPr="00AF181E">
        <w:rPr>
          <w:rFonts w:asciiTheme="minorHAnsi" w:hAnsiTheme="minorHAnsi" w:cs="TTE1A42DC8t00"/>
          <w:sz w:val="23"/>
          <w:szCs w:val="23"/>
          <w:lang w:val="en-US"/>
        </w:rPr>
        <w:t>However t</w:t>
      </w:r>
      <w:r w:rsidR="004F3E69" w:rsidRPr="00AF181E">
        <w:rPr>
          <w:rFonts w:asciiTheme="minorHAnsi" w:hAnsiTheme="minorHAnsi" w:cs="TTE1A42DC8t00"/>
          <w:sz w:val="23"/>
          <w:szCs w:val="23"/>
          <w:lang w:val="en-US"/>
        </w:rPr>
        <w:t>he</w:t>
      </w:r>
      <w:r w:rsidR="00B762B7" w:rsidRPr="00AF181E">
        <w:rPr>
          <w:rFonts w:asciiTheme="minorHAnsi" w:hAnsiTheme="minorHAnsi" w:cs="TTE1A42DC8t00"/>
          <w:sz w:val="23"/>
          <w:szCs w:val="23"/>
          <w:lang w:val="en-US"/>
        </w:rPr>
        <w:t xml:space="preserve">re would be little or no ability or incentive on </w:t>
      </w:r>
      <w:r w:rsidR="004F3E69" w:rsidRPr="00AF181E">
        <w:rPr>
          <w:rFonts w:asciiTheme="minorHAnsi" w:hAnsiTheme="minorHAnsi" w:cs="TTE1A42DC8t00"/>
          <w:sz w:val="23"/>
          <w:szCs w:val="23"/>
          <w:lang w:val="en-US"/>
        </w:rPr>
        <w:t>AES</w:t>
      </w:r>
      <w:r w:rsidR="00B762B7" w:rsidRPr="00AF181E">
        <w:rPr>
          <w:rFonts w:asciiTheme="minorHAnsi" w:hAnsiTheme="minorHAnsi" w:cs="TTE1A42DC8t00"/>
          <w:sz w:val="23"/>
          <w:szCs w:val="23"/>
          <w:lang w:val="en-US"/>
        </w:rPr>
        <w:t xml:space="preserve"> to withhold capacity in order to skew generation towards its uncontracted plant as the loss of</w:t>
      </w:r>
      <w:r w:rsidR="00B762B7" w:rsidRPr="00AF181E">
        <w:rPr>
          <w:rFonts w:asciiTheme="minorHAnsi" w:hAnsiTheme="minorHAnsi"/>
          <w:sz w:val="23"/>
          <w:szCs w:val="23"/>
        </w:rPr>
        <w:t xml:space="preserve"> availability income associated with the contracted plant and capacity payments associated with the uncontracted plant is more than likely to off-set any additional energy payments gained. In any event, AES </w:t>
      </w:r>
      <w:r w:rsidR="004F029F">
        <w:rPr>
          <w:rFonts w:asciiTheme="minorHAnsi" w:hAnsiTheme="minorHAnsi"/>
          <w:sz w:val="23"/>
          <w:szCs w:val="23"/>
        </w:rPr>
        <w:t>KPL</w:t>
      </w:r>
      <w:r w:rsidR="00B762B7" w:rsidRPr="00AF181E">
        <w:rPr>
          <w:rFonts w:asciiTheme="minorHAnsi" w:hAnsiTheme="minorHAnsi"/>
          <w:sz w:val="23"/>
          <w:szCs w:val="23"/>
        </w:rPr>
        <w:t xml:space="preserve"> and AES </w:t>
      </w:r>
      <w:r w:rsidR="004F029F">
        <w:rPr>
          <w:rFonts w:asciiTheme="minorHAnsi" w:hAnsiTheme="minorHAnsi"/>
          <w:sz w:val="23"/>
          <w:szCs w:val="23"/>
        </w:rPr>
        <w:t>BL</w:t>
      </w:r>
      <w:r w:rsidR="00B762B7" w:rsidRPr="00AF181E">
        <w:rPr>
          <w:rFonts w:asciiTheme="minorHAnsi" w:hAnsiTheme="minorHAnsi"/>
          <w:sz w:val="23"/>
          <w:szCs w:val="23"/>
        </w:rPr>
        <w:t xml:space="preserve"> would be in breach of their respective </w:t>
      </w:r>
      <w:r>
        <w:rPr>
          <w:rFonts w:asciiTheme="minorHAnsi" w:hAnsiTheme="minorHAnsi"/>
          <w:sz w:val="23"/>
          <w:szCs w:val="23"/>
        </w:rPr>
        <w:t>G</w:t>
      </w:r>
      <w:r w:rsidR="00B762B7" w:rsidRPr="00AF181E">
        <w:rPr>
          <w:rFonts w:asciiTheme="minorHAnsi" w:hAnsiTheme="minorHAnsi"/>
          <w:sz w:val="23"/>
          <w:szCs w:val="23"/>
        </w:rPr>
        <w:t xml:space="preserve">eneration </w:t>
      </w:r>
      <w:r>
        <w:rPr>
          <w:rFonts w:asciiTheme="minorHAnsi" w:hAnsiTheme="minorHAnsi"/>
          <w:sz w:val="23"/>
          <w:szCs w:val="23"/>
        </w:rPr>
        <w:t>L</w:t>
      </w:r>
      <w:r w:rsidR="00B762B7" w:rsidRPr="00AF181E">
        <w:rPr>
          <w:rFonts w:asciiTheme="minorHAnsi" w:hAnsiTheme="minorHAnsi"/>
          <w:sz w:val="23"/>
          <w:szCs w:val="23"/>
        </w:rPr>
        <w:t xml:space="preserve">icences and </w:t>
      </w:r>
      <w:r>
        <w:rPr>
          <w:rFonts w:asciiTheme="minorHAnsi" w:hAnsiTheme="minorHAnsi"/>
          <w:sz w:val="23"/>
          <w:szCs w:val="23"/>
        </w:rPr>
        <w:t>G</w:t>
      </w:r>
      <w:r w:rsidR="00B762B7" w:rsidRPr="00AF181E">
        <w:rPr>
          <w:rFonts w:asciiTheme="minorHAnsi" w:hAnsiTheme="minorHAnsi"/>
          <w:sz w:val="23"/>
          <w:szCs w:val="23"/>
        </w:rPr>
        <w:t xml:space="preserve">rid </w:t>
      </w:r>
      <w:r>
        <w:rPr>
          <w:rFonts w:asciiTheme="minorHAnsi" w:hAnsiTheme="minorHAnsi"/>
          <w:sz w:val="23"/>
          <w:szCs w:val="23"/>
        </w:rPr>
        <w:t>C</w:t>
      </w:r>
      <w:r w:rsidR="00B762B7" w:rsidRPr="00AF181E">
        <w:rPr>
          <w:rFonts w:asciiTheme="minorHAnsi" w:hAnsiTheme="minorHAnsi"/>
          <w:sz w:val="23"/>
          <w:szCs w:val="23"/>
        </w:rPr>
        <w:t>ode requirements if they withheld capacity from the system operator that was technically available for dispatch</w:t>
      </w:r>
      <w:r w:rsidR="00B762B7" w:rsidRPr="00AF181E">
        <w:rPr>
          <w:rStyle w:val="FootnoteReference"/>
          <w:rFonts w:asciiTheme="minorHAnsi" w:hAnsiTheme="minorHAnsi"/>
          <w:sz w:val="23"/>
          <w:szCs w:val="23"/>
        </w:rPr>
        <w:footnoteReference w:id="3"/>
      </w:r>
      <w:r w:rsidR="00B762B7" w:rsidRPr="00AF181E">
        <w:rPr>
          <w:rFonts w:asciiTheme="minorHAnsi" w:hAnsiTheme="minorHAnsi"/>
          <w:sz w:val="23"/>
          <w:szCs w:val="23"/>
        </w:rPr>
        <w:t>.</w:t>
      </w:r>
      <w:r w:rsidR="006B3D60" w:rsidRPr="00AF181E">
        <w:rPr>
          <w:rFonts w:asciiTheme="minorHAnsi" w:hAnsiTheme="minorHAnsi"/>
          <w:sz w:val="23"/>
          <w:szCs w:val="23"/>
        </w:rPr>
        <w:t xml:space="preserve"> </w:t>
      </w:r>
    </w:p>
    <w:p w:rsidR="006B1BB7" w:rsidRPr="00AF181E" w:rsidRDefault="00ED03CA" w:rsidP="002E39B5">
      <w:pPr>
        <w:pStyle w:val="BodyText"/>
        <w:rPr>
          <w:rFonts w:asciiTheme="minorHAnsi" w:hAnsiTheme="minorHAnsi"/>
          <w:sz w:val="23"/>
          <w:szCs w:val="23"/>
        </w:rPr>
      </w:pPr>
      <w:r w:rsidRPr="00AF181E">
        <w:rPr>
          <w:rFonts w:asciiTheme="minorHAnsi" w:hAnsiTheme="minorHAnsi"/>
          <w:sz w:val="23"/>
          <w:szCs w:val="23"/>
        </w:rPr>
        <w:t xml:space="preserve">The incentive to withhold capacity requires losses from the withheld units to be offset by primarily </w:t>
      </w:r>
      <w:r w:rsidR="006B1BB7" w:rsidRPr="00AF181E">
        <w:rPr>
          <w:rFonts w:asciiTheme="minorHAnsi" w:hAnsiTheme="minorHAnsi"/>
          <w:sz w:val="23"/>
          <w:szCs w:val="23"/>
        </w:rPr>
        <w:t>increased energy revenues from</w:t>
      </w:r>
      <w:r w:rsidRPr="00AF181E">
        <w:rPr>
          <w:rFonts w:asciiTheme="minorHAnsi" w:hAnsiTheme="minorHAnsi"/>
          <w:sz w:val="23"/>
          <w:szCs w:val="23"/>
        </w:rPr>
        <w:t xml:space="preserve"> the remaining units.</w:t>
      </w:r>
      <w:r w:rsidR="006B1BB7" w:rsidRPr="00AF181E">
        <w:rPr>
          <w:rFonts w:asciiTheme="minorHAnsi" w:hAnsiTheme="minorHAnsi"/>
          <w:sz w:val="23"/>
          <w:szCs w:val="23"/>
        </w:rPr>
        <w:t xml:space="preserve"> </w:t>
      </w:r>
      <w:r w:rsidR="0040383E" w:rsidRPr="00AF181E">
        <w:rPr>
          <w:rFonts w:asciiTheme="minorHAnsi" w:hAnsiTheme="minorHAnsi"/>
          <w:sz w:val="23"/>
          <w:szCs w:val="23"/>
        </w:rPr>
        <w:t>However in order to benefit from increased revenues the remaining units have to be scheduled in the market.</w:t>
      </w:r>
    </w:p>
    <w:p w:rsidR="006B1BB7" w:rsidRPr="00AF181E" w:rsidRDefault="006B1BB7" w:rsidP="006B1BB7">
      <w:pPr>
        <w:pStyle w:val="BodyText1"/>
        <w:ind w:left="0"/>
        <w:rPr>
          <w:rFonts w:asciiTheme="minorHAnsi" w:hAnsiTheme="minorHAnsi"/>
          <w:bCs/>
          <w:sz w:val="23"/>
          <w:szCs w:val="23"/>
          <w:lang w:eastAsia="zh-CN"/>
        </w:rPr>
      </w:pPr>
      <w:r w:rsidRPr="00AF181E">
        <w:rPr>
          <w:rFonts w:asciiTheme="minorHAnsi" w:hAnsiTheme="minorHAnsi"/>
          <w:bCs/>
          <w:sz w:val="23"/>
          <w:szCs w:val="23"/>
          <w:lang w:eastAsia="zh-CN"/>
        </w:rPr>
        <w:lastRenderedPageBreak/>
        <w:t>A brief description of the Kilroot and Ballylumford units are set out below</w:t>
      </w:r>
      <w:r w:rsidR="008D7A4A" w:rsidRPr="00AF181E">
        <w:rPr>
          <w:rFonts w:asciiTheme="minorHAnsi" w:hAnsiTheme="minorHAnsi"/>
          <w:bCs/>
          <w:sz w:val="23"/>
          <w:szCs w:val="23"/>
          <w:lang w:eastAsia="zh-CN"/>
        </w:rPr>
        <w:t xml:space="preserve"> along with their forecast merit order position for 2011 as provided by </w:t>
      </w:r>
      <w:r w:rsidR="004F029F">
        <w:rPr>
          <w:rFonts w:asciiTheme="minorHAnsi" w:hAnsiTheme="minorHAnsi"/>
          <w:bCs/>
          <w:sz w:val="23"/>
          <w:szCs w:val="23"/>
          <w:lang w:eastAsia="zh-CN"/>
        </w:rPr>
        <w:t>recent independent modelling</w:t>
      </w:r>
      <w:r w:rsidR="000D50C1">
        <w:rPr>
          <w:rFonts w:asciiTheme="minorHAnsi" w:hAnsiTheme="minorHAnsi"/>
          <w:bCs/>
          <w:sz w:val="23"/>
          <w:szCs w:val="23"/>
          <w:lang w:eastAsia="zh-CN"/>
        </w:rPr>
        <w:t>.</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68"/>
        <w:gridCol w:w="1134"/>
        <w:gridCol w:w="1134"/>
        <w:gridCol w:w="2694"/>
        <w:gridCol w:w="2126"/>
      </w:tblGrid>
      <w:tr w:rsidR="008A68ED" w:rsidRPr="00AF181E" w:rsidTr="00B43783">
        <w:trPr>
          <w:tblHeader/>
        </w:trPr>
        <w:tc>
          <w:tcPr>
            <w:tcW w:w="2268" w:type="dxa"/>
          </w:tcPr>
          <w:p w:rsidR="008A68ED" w:rsidRPr="00AF181E" w:rsidRDefault="008A68ED" w:rsidP="00FC357D">
            <w:pPr>
              <w:pStyle w:val="BodyText1"/>
              <w:ind w:left="0"/>
              <w:rPr>
                <w:rFonts w:asciiTheme="minorHAnsi" w:hAnsiTheme="minorHAnsi"/>
                <w:b/>
                <w:sz w:val="23"/>
                <w:szCs w:val="23"/>
                <w:lang w:eastAsia="zh-CN"/>
              </w:rPr>
            </w:pPr>
            <w:r w:rsidRPr="00AF181E">
              <w:rPr>
                <w:rFonts w:asciiTheme="minorHAnsi" w:hAnsiTheme="minorHAnsi"/>
                <w:b/>
                <w:sz w:val="23"/>
                <w:szCs w:val="23"/>
                <w:lang w:eastAsia="zh-CN"/>
              </w:rPr>
              <w:t>Unit</w:t>
            </w:r>
          </w:p>
        </w:tc>
        <w:tc>
          <w:tcPr>
            <w:tcW w:w="1134" w:type="dxa"/>
          </w:tcPr>
          <w:p w:rsidR="008A68ED" w:rsidRPr="00AF181E" w:rsidRDefault="008A68ED" w:rsidP="00F85680">
            <w:pPr>
              <w:pStyle w:val="BodyText1"/>
              <w:ind w:left="0"/>
              <w:jc w:val="center"/>
              <w:rPr>
                <w:rFonts w:asciiTheme="minorHAnsi" w:hAnsiTheme="minorHAnsi"/>
                <w:b/>
                <w:sz w:val="23"/>
                <w:szCs w:val="23"/>
                <w:lang w:eastAsia="zh-CN"/>
              </w:rPr>
            </w:pPr>
            <w:r w:rsidRPr="00AF181E">
              <w:rPr>
                <w:rFonts w:asciiTheme="minorHAnsi" w:hAnsiTheme="minorHAnsi"/>
                <w:b/>
                <w:sz w:val="23"/>
                <w:szCs w:val="23"/>
                <w:lang w:eastAsia="zh-CN"/>
              </w:rPr>
              <w:t xml:space="preserve">Effective </w:t>
            </w:r>
            <w:r w:rsidR="00F85680">
              <w:rPr>
                <w:rFonts w:asciiTheme="minorHAnsi" w:hAnsiTheme="minorHAnsi"/>
                <w:b/>
                <w:sz w:val="23"/>
                <w:szCs w:val="23"/>
                <w:lang w:eastAsia="zh-CN"/>
              </w:rPr>
              <w:t>C</w:t>
            </w:r>
            <w:r w:rsidRPr="00AF181E">
              <w:rPr>
                <w:rFonts w:asciiTheme="minorHAnsi" w:hAnsiTheme="minorHAnsi"/>
                <w:b/>
                <w:sz w:val="23"/>
                <w:szCs w:val="23"/>
                <w:lang w:eastAsia="zh-CN"/>
              </w:rPr>
              <w:t>apacity</w:t>
            </w:r>
          </w:p>
        </w:tc>
        <w:tc>
          <w:tcPr>
            <w:tcW w:w="1134" w:type="dxa"/>
          </w:tcPr>
          <w:p w:rsidR="008A68ED" w:rsidRPr="00AF181E" w:rsidRDefault="008A68ED" w:rsidP="00FC357D">
            <w:pPr>
              <w:pStyle w:val="BodyText1"/>
              <w:ind w:left="0"/>
              <w:rPr>
                <w:rFonts w:asciiTheme="minorHAnsi" w:hAnsiTheme="minorHAnsi"/>
                <w:b/>
                <w:sz w:val="23"/>
                <w:szCs w:val="23"/>
                <w:lang w:eastAsia="zh-CN"/>
              </w:rPr>
            </w:pPr>
            <w:r w:rsidRPr="00AF181E">
              <w:rPr>
                <w:rFonts w:asciiTheme="minorHAnsi" w:hAnsiTheme="minorHAnsi"/>
                <w:b/>
                <w:sz w:val="23"/>
                <w:szCs w:val="23"/>
                <w:lang w:eastAsia="zh-CN"/>
              </w:rPr>
              <w:t>Fuel</w:t>
            </w:r>
          </w:p>
        </w:tc>
        <w:tc>
          <w:tcPr>
            <w:tcW w:w="2694" w:type="dxa"/>
          </w:tcPr>
          <w:p w:rsidR="008A68ED" w:rsidRPr="00AF181E" w:rsidRDefault="008A68ED" w:rsidP="00F85680">
            <w:pPr>
              <w:pStyle w:val="BodyText1"/>
              <w:ind w:left="0"/>
              <w:rPr>
                <w:rFonts w:asciiTheme="minorHAnsi" w:hAnsiTheme="minorHAnsi"/>
                <w:b/>
                <w:sz w:val="23"/>
                <w:szCs w:val="23"/>
                <w:lang w:eastAsia="zh-CN"/>
              </w:rPr>
            </w:pPr>
            <w:r w:rsidRPr="00AF181E">
              <w:rPr>
                <w:rFonts w:asciiTheme="minorHAnsi" w:hAnsiTheme="minorHAnsi"/>
                <w:b/>
                <w:sz w:val="23"/>
                <w:szCs w:val="23"/>
                <w:lang w:eastAsia="zh-CN"/>
              </w:rPr>
              <w:t xml:space="preserve">Contractual </w:t>
            </w:r>
            <w:r w:rsidR="00F85680">
              <w:rPr>
                <w:rFonts w:asciiTheme="minorHAnsi" w:hAnsiTheme="minorHAnsi"/>
                <w:b/>
                <w:sz w:val="23"/>
                <w:szCs w:val="23"/>
                <w:lang w:eastAsia="zh-CN"/>
              </w:rPr>
              <w:t>P</w:t>
            </w:r>
            <w:r w:rsidRPr="00AF181E">
              <w:rPr>
                <w:rFonts w:asciiTheme="minorHAnsi" w:hAnsiTheme="minorHAnsi"/>
                <w:b/>
                <w:sz w:val="23"/>
                <w:szCs w:val="23"/>
                <w:lang w:eastAsia="zh-CN"/>
              </w:rPr>
              <w:t>osition</w:t>
            </w:r>
          </w:p>
        </w:tc>
        <w:tc>
          <w:tcPr>
            <w:tcW w:w="2126" w:type="dxa"/>
          </w:tcPr>
          <w:p w:rsidR="008A68ED" w:rsidRPr="00AF181E" w:rsidRDefault="00F85680" w:rsidP="00F85680">
            <w:pPr>
              <w:pStyle w:val="BodyText1"/>
              <w:ind w:left="0"/>
              <w:jc w:val="left"/>
              <w:rPr>
                <w:rFonts w:asciiTheme="minorHAnsi" w:hAnsiTheme="minorHAnsi"/>
                <w:b/>
                <w:sz w:val="23"/>
                <w:szCs w:val="23"/>
                <w:lang w:eastAsia="zh-CN"/>
              </w:rPr>
            </w:pPr>
            <w:r>
              <w:rPr>
                <w:rFonts w:asciiTheme="minorHAnsi" w:hAnsiTheme="minorHAnsi"/>
                <w:b/>
                <w:sz w:val="23"/>
                <w:szCs w:val="23"/>
                <w:lang w:eastAsia="zh-CN"/>
              </w:rPr>
              <w:t xml:space="preserve">2011 Forecast </w:t>
            </w:r>
            <w:r w:rsidR="008A68ED" w:rsidRPr="00AF181E">
              <w:rPr>
                <w:rFonts w:asciiTheme="minorHAnsi" w:hAnsiTheme="minorHAnsi"/>
                <w:b/>
                <w:sz w:val="23"/>
                <w:szCs w:val="23"/>
                <w:lang w:eastAsia="zh-CN"/>
              </w:rPr>
              <w:t>Merit Order</w:t>
            </w:r>
          </w:p>
        </w:tc>
      </w:tr>
      <w:tr w:rsidR="0040383E" w:rsidRPr="00AF181E" w:rsidTr="0040383E">
        <w:tc>
          <w:tcPr>
            <w:tcW w:w="2268" w:type="dxa"/>
          </w:tcPr>
          <w:p w:rsidR="0040383E" w:rsidRPr="00AF181E" w:rsidRDefault="0040383E" w:rsidP="00FC357D">
            <w:pPr>
              <w:pStyle w:val="BodyText1"/>
              <w:ind w:left="0"/>
              <w:rPr>
                <w:rFonts w:asciiTheme="minorHAnsi" w:hAnsiTheme="minorHAnsi"/>
                <w:bCs/>
                <w:sz w:val="23"/>
                <w:szCs w:val="23"/>
                <w:lang w:eastAsia="zh-CN"/>
              </w:rPr>
            </w:pPr>
            <w:r w:rsidRPr="00AF181E">
              <w:rPr>
                <w:rFonts w:asciiTheme="minorHAnsi" w:hAnsiTheme="minorHAnsi"/>
                <w:bCs/>
                <w:sz w:val="23"/>
                <w:szCs w:val="23"/>
                <w:lang w:eastAsia="zh-CN"/>
              </w:rPr>
              <w:t>Ballylumford Unit 4</w:t>
            </w:r>
          </w:p>
        </w:tc>
        <w:tc>
          <w:tcPr>
            <w:tcW w:w="1134" w:type="dxa"/>
          </w:tcPr>
          <w:p w:rsidR="0040383E" w:rsidRPr="00AF181E" w:rsidRDefault="0040383E" w:rsidP="00FC357D">
            <w:pPr>
              <w:pStyle w:val="BodyText1"/>
              <w:ind w:left="0"/>
              <w:jc w:val="center"/>
              <w:rPr>
                <w:rFonts w:asciiTheme="minorHAnsi" w:hAnsiTheme="minorHAnsi"/>
                <w:bCs/>
                <w:sz w:val="23"/>
                <w:szCs w:val="23"/>
                <w:lang w:eastAsia="zh-CN"/>
              </w:rPr>
            </w:pPr>
            <w:r w:rsidRPr="00AF181E">
              <w:rPr>
                <w:rFonts w:asciiTheme="minorHAnsi" w:hAnsiTheme="minorHAnsi"/>
                <w:bCs/>
                <w:sz w:val="23"/>
                <w:szCs w:val="23"/>
                <w:lang w:eastAsia="zh-CN"/>
              </w:rPr>
              <w:t>170</w:t>
            </w:r>
          </w:p>
        </w:tc>
        <w:tc>
          <w:tcPr>
            <w:tcW w:w="1134" w:type="dxa"/>
            <w:vMerge w:val="restart"/>
          </w:tcPr>
          <w:p w:rsidR="0040383E" w:rsidRPr="00AF181E" w:rsidRDefault="0040383E" w:rsidP="00FC357D">
            <w:pPr>
              <w:pStyle w:val="BodyText1"/>
              <w:ind w:left="0"/>
              <w:rPr>
                <w:rFonts w:asciiTheme="minorHAnsi" w:hAnsiTheme="minorHAnsi"/>
                <w:bCs/>
                <w:sz w:val="23"/>
                <w:szCs w:val="23"/>
                <w:lang w:eastAsia="zh-CN"/>
              </w:rPr>
            </w:pPr>
            <w:r w:rsidRPr="00AF181E">
              <w:rPr>
                <w:rFonts w:asciiTheme="minorHAnsi" w:hAnsiTheme="minorHAnsi"/>
                <w:bCs/>
                <w:sz w:val="23"/>
                <w:szCs w:val="23"/>
                <w:lang w:eastAsia="zh-CN"/>
              </w:rPr>
              <w:t>Natural gas</w:t>
            </w:r>
          </w:p>
        </w:tc>
        <w:tc>
          <w:tcPr>
            <w:tcW w:w="2694" w:type="dxa"/>
          </w:tcPr>
          <w:p w:rsidR="0040383E" w:rsidRPr="00AF181E" w:rsidRDefault="0040383E" w:rsidP="008A68ED">
            <w:pPr>
              <w:pStyle w:val="BodyText1"/>
              <w:ind w:left="0"/>
              <w:jc w:val="left"/>
              <w:rPr>
                <w:rFonts w:asciiTheme="minorHAnsi" w:hAnsiTheme="minorHAnsi"/>
                <w:bCs/>
                <w:sz w:val="23"/>
                <w:szCs w:val="23"/>
                <w:lang w:eastAsia="zh-CN"/>
              </w:rPr>
            </w:pPr>
            <w:r w:rsidRPr="00AF181E">
              <w:rPr>
                <w:rFonts w:asciiTheme="minorHAnsi" w:hAnsiTheme="minorHAnsi"/>
                <w:bCs/>
                <w:sz w:val="23"/>
                <w:szCs w:val="23"/>
                <w:lang w:eastAsia="zh-CN"/>
              </w:rPr>
              <w:t xml:space="preserve">Contracted with NIEE </w:t>
            </w:r>
            <w:r w:rsidR="00F85680">
              <w:rPr>
                <w:rFonts w:asciiTheme="minorHAnsi" w:hAnsiTheme="minorHAnsi"/>
                <w:bCs/>
                <w:sz w:val="23"/>
                <w:szCs w:val="23"/>
                <w:lang w:eastAsia="zh-CN"/>
              </w:rPr>
              <w:t xml:space="preserve">PPB </w:t>
            </w:r>
            <w:r w:rsidRPr="00AF181E">
              <w:rPr>
                <w:rFonts w:asciiTheme="minorHAnsi" w:hAnsiTheme="minorHAnsi"/>
                <w:bCs/>
                <w:sz w:val="23"/>
                <w:szCs w:val="23"/>
                <w:lang w:eastAsia="zh-CN"/>
              </w:rPr>
              <w:t>until 31 March 2012</w:t>
            </w:r>
            <w:r w:rsidRPr="00AF181E">
              <w:rPr>
                <w:rFonts w:asciiTheme="minorHAnsi" w:hAnsiTheme="minorHAnsi"/>
                <w:sz w:val="23"/>
                <w:szCs w:val="23"/>
              </w:rPr>
              <w:t xml:space="preserve"> </w:t>
            </w:r>
            <w:r w:rsidR="00B43783" w:rsidRPr="00AF181E">
              <w:rPr>
                <w:rFonts w:asciiTheme="minorHAnsi" w:hAnsiTheme="minorHAnsi"/>
                <w:bCs/>
                <w:sz w:val="23"/>
                <w:szCs w:val="23"/>
                <w:lang w:eastAsia="zh-CN"/>
              </w:rPr>
              <w:t>but can be cancelled earlier</w:t>
            </w:r>
            <w:r w:rsidRPr="00AF181E">
              <w:rPr>
                <w:rFonts w:asciiTheme="minorHAnsi" w:hAnsiTheme="minorHAnsi"/>
                <w:bCs/>
                <w:sz w:val="23"/>
                <w:szCs w:val="23"/>
                <w:lang w:eastAsia="zh-CN"/>
              </w:rPr>
              <w:t>. To be retired 2015</w:t>
            </w:r>
          </w:p>
        </w:tc>
        <w:tc>
          <w:tcPr>
            <w:tcW w:w="2126" w:type="dxa"/>
          </w:tcPr>
          <w:p w:rsidR="0040383E" w:rsidRPr="00AF181E" w:rsidRDefault="0040383E" w:rsidP="00FC357D">
            <w:pPr>
              <w:pStyle w:val="BodyText1"/>
              <w:ind w:left="0"/>
              <w:jc w:val="left"/>
              <w:rPr>
                <w:rFonts w:asciiTheme="minorHAnsi" w:hAnsiTheme="minorHAnsi"/>
                <w:bCs/>
                <w:sz w:val="23"/>
                <w:szCs w:val="23"/>
                <w:lang w:eastAsia="zh-CN"/>
              </w:rPr>
            </w:pPr>
            <w:r w:rsidRPr="00AF181E">
              <w:rPr>
                <w:rFonts w:asciiTheme="minorHAnsi" w:hAnsiTheme="minorHAnsi"/>
                <w:bCs/>
                <w:sz w:val="23"/>
                <w:szCs w:val="23"/>
                <w:lang w:eastAsia="zh-CN"/>
              </w:rPr>
              <w:t>Peak</w:t>
            </w:r>
          </w:p>
        </w:tc>
      </w:tr>
      <w:tr w:rsidR="0040383E" w:rsidRPr="00AF181E" w:rsidTr="0040383E">
        <w:tc>
          <w:tcPr>
            <w:tcW w:w="2268" w:type="dxa"/>
          </w:tcPr>
          <w:p w:rsidR="0040383E" w:rsidRPr="00AF181E" w:rsidRDefault="0040383E" w:rsidP="00FC357D">
            <w:pPr>
              <w:pStyle w:val="BodyText1"/>
              <w:ind w:left="0"/>
              <w:rPr>
                <w:rFonts w:asciiTheme="minorHAnsi" w:hAnsiTheme="minorHAnsi"/>
                <w:bCs/>
                <w:sz w:val="23"/>
                <w:szCs w:val="23"/>
                <w:lang w:eastAsia="zh-CN"/>
              </w:rPr>
            </w:pPr>
            <w:r w:rsidRPr="00AF181E">
              <w:rPr>
                <w:rFonts w:asciiTheme="minorHAnsi" w:hAnsiTheme="minorHAnsi"/>
                <w:bCs/>
                <w:sz w:val="23"/>
                <w:szCs w:val="23"/>
                <w:lang w:eastAsia="zh-CN"/>
              </w:rPr>
              <w:t>Ballylumford Unit 5</w:t>
            </w:r>
          </w:p>
        </w:tc>
        <w:tc>
          <w:tcPr>
            <w:tcW w:w="1134" w:type="dxa"/>
          </w:tcPr>
          <w:p w:rsidR="0040383E" w:rsidRPr="00AF181E" w:rsidRDefault="0040383E" w:rsidP="00FC357D">
            <w:pPr>
              <w:pStyle w:val="BodyText1"/>
              <w:ind w:left="0"/>
              <w:jc w:val="center"/>
              <w:rPr>
                <w:rFonts w:asciiTheme="minorHAnsi" w:hAnsiTheme="minorHAnsi"/>
                <w:bCs/>
                <w:sz w:val="23"/>
                <w:szCs w:val="23"/>
                <w:lang w:eastAsia="zh-CN"/>
              </w:rPr>
            </w:pPr>
            <w:r w:rsidRPr="00AF181E">
              <w:rPr>
                <w:rFonts w:asciiTheme="minorHAnsi" w:hAnsiTheme="minorHAnsi"/>
                <w:bCs/>
                <w:sz w:val="23"/>
                <w:szCs w:val="23"/>
                <w:lang w:eastAsia="zh-CN"/>
              </w:rPr>
              <w:t>170</w:t>
            </w:r>
          </w:p>
        </w:tc>
        <w:tc>
          <w:tcPr>
            <w:tcW w:w="1134" w:type="dxa"/>
            <w:vMerge/>
          </w:tcPr>
          <w:p w:rsidR="0040383E" w:rsidRPr="00AF181E" w:rsidRDefault="0040383E" w:rsidP="00FC357D">
            <w:pPr>
              <w:pStyle w:val="BodyText1"/>
              <w:ind w:left="0"/>
              <w:rPr>
                <w:rFonts w:asciiTheme="minorHAnsi" w:hAnsiTheme="minorHAnsi"/>
                <w:bCs/>
                <w:sz w:val="23"/>
                <w:szCs w:val="23"/>
                <w:lang w:eastAsia="zh-CN"/>
              </w:rPr>
            </w:pPr>
          </w:p>
        </w:tc>
        <w:tc>
          <w:tcPr>
            <w:tcW w:w="2694" w:type="dxa"/>
            <w:vMerge w:val="restart"/>
          </w:tcPr>
          <w:p w:rsidR="0040383E" w:rsidRPr="00AF181E" w:rsidRDefault="0040383E" w:rsidP="004F029F">
            <w:pPr>
              <w:pStyle w:val="BodyText1"/>
              <w:ind w:left="0"/>
              <w:jc w:val="left"/>
              <w:rPr>
                <w:rFonts w:asciiTheme="minorHAnsi" w:hAnsiTheme="minorHAnsi"/>
                <w:bCs/>
                <w:sz w:val="23"/>
                <w:szCs w:val="23"/>
                <w:lang w:eastAsia="zh-CN"/>
              </w:rPr>
            </w:pPr>
            <w:r w:rsidRPr="00AF181E">
              <w:rPr>
                <w:rFonts w:asciiTheme="minorHAnsi" w:hAnsiTheme="minorHAnsi"/>
                <w:bCs/>
                <w:sz w:val="23"/>
                <w:szCs w:val="23"/>
                <w:lang w:eastAsia="zh-CN"/>
              </w:rPr>
              <w:t>Uncontracted.</w:t>
            </w:r>
            <w:r w:rsidRPr="00AF181E">
              <w:rPr>
                <w:rFonts w:asciiTheme="minorHAnsi" w:hAnsiTheme="minorHAnsi"/>
                <w:bCs/>
                <w:sz w:val="23"/>
                <w:szCs w:val="23"/>
                <w:lang w:eastAsia="zh-CN"/>
              </w:rPr>
              <w:br/>
            </w:r>
          </w:p>
        </w:tc>
        <w:tc>
          <w:tcPr>
            <w:tcW w:w="2126" w:type="dxa"/>
            <w:vMerge w:val="restart"/>
          </w:tcPr>
          <w:p w:rsidR="0040383E" w:rsidRPr="00AF181E" w:rsidRDefault="0040383E" w:rsidP="00FC357D">
            <w:pPr>
              <w:pStyle w:val="BodyText1"/>
              <w:ind w:left="0"/>
              <w:jc w:val="left"/>
              <w:rPr>
                <w:rFonts w:asciiTheme="minorHAnsi" w:hAnsiTheme="minorHAnsi"/>
                <w:bCs/>
                <w:sz w:val="23"/>
                <w:szCs w:val="23"/>
                <w:lang w:eastAsia="zh-CN"/>
              </w:rPr>
            </w:pPr>
            <w:r w:rsidRPr="00AF181E">
              <w:rPr>
                <w:rFonts w:asciiTheme="minorHAnsi" w:hAnsiTheme="minorHAnsi"/>
                <w:bCs/>
                <w:sz w:val="23"/>
                <w:szCs w:val="23"/>
                <w:lang w:eastAsia="zh-CN"/>
              </w:rPr>
              <w:t>Peak</w:t>
            </w:r>
          </w:p>
        </w:tc>
      </w:tr>
      <w:tr w:rsidR="0040383E" w:rsidRPr="00AF181E" w:rsidTr="0040383E">
        <w:tc>
          <w:tcPr>
            <w:tcW w:w="2268" w:type="dxa"/>
          </w:tcPr>
          <w:p w:rsidR="0040383E" w:rsidRPr="00AF181E" w:rsidRDefault="0040383E" w:rsidP="00FC357D">
            <w:pPr>
              <w:pStyle w:val="BodyText1"/>
              <w:ind w:left="0"/>
              <w:rPr>
                <w:rFonts w:asciiTheme="minorHAnsi" w:hAnsiTheme="minorHAnsi"/>
                <w:bCs/>
                <w:sz w:val="23"/>
                <w:szCs w:val="23"/>
                <w:lang w:eastAsia="zh-CN"/>
              </w:rPr>
            </w:pPr>
            <w:r w:rsidRPr="00AF181E">
              <w:rPr>
                <w:rFonts w:asciiTheme="minorHAnsi" w:hAnsiTheme="minorHAnsi"/>
                <w:bCs/>
                <w:sz w:val="23"/>
                <w:szCs w:val="23"/>
                <w:lang w:eastAsia="zh-CN"/>
              </w:rPr>
              <w:t>Ballylumford Unit 6</w:t>
            </w:r>
          </w:p>
        </w:tc>
        <w:tc>
          <w:tcPr>
            <w:tcW w:w="1134" w:type="dxa"/>
          </w:tcPr>
          <w:p w:rsidR="0040383E" w:rsidRPr="00AF181E" w:rsidRDefault="0040383E" w:rsidP="00FC357D">
            <w:pPr>
              <w:pStyle w:val="BodyText1"/>
              <w:ind w:left="0"/>
              <w:jc w:val="center"/>
              <w:rPr>
                <w:rFonts w:asciiTheme="minorHAnsi" w:hAnsiTheme="minorHAnsi"/>
                <w:bCs/>
                <w:sz w:val="23"/>
                <w:szCs w:val="23"/>
                <w:lang w:eastAsia="zh-CN"/>
              </w:rPr>
            </w:pPr>
            <w:r w:rsidRPr="00AF181E">
              <w:rPr>
                <w:rFonts w:asciiTheme="minorHAnsi" w:hAnsiTheme="minorHAnsi"/>
                <w:bCs/>
                <w:sz w:val="23"/>
                <w:szCs w:val="23"/>
                <w:lang w:eastAsia="zh-CN"/>
              </w:rPr>
              <w:t>170</w:t>
            </w:r>
          </w:p>
        </w:tc>
        <w:tc>
          <w:tcPr>
            <w:tcW w:w="1134" w:type="dxa"/>
            <w:vMerge/>
          </w:tcPr>
          <w:p w:rsidR="0040383E" w:rsidRPr="00AF181E" w:rsidRDefault="0040383E" w:rsidP="00FC357D">
            <w:pPr>
              <w:pStyle w:val="BodyText1"/>
              <w:ind w:left="0"/>
              <w:rPr>
                <w:rFonts w:asciiTheme="minorHAnsi" w:hAnsiTheme="minorHAnsi"/>
                <w:bCs/>
                <w:sz w:val="23"/>
                <w:szCs w:val="23"/>
                <w:lang w:eastAsia="zh-CN"/>
              </w:rPr>
            </w:pPr>
          </w:p>
        </w:tc>
        <w:tc>
          <w:tcPr>
            <w:tcW w:w="2694" w:type="dxa"/>
            <w:vMerge/>
          </w:tcPr>
          <w:p w:rsidR="0040383E" w:rsidRPr="00AF181E" w:rsidRDefault="0040383E" w:rsidP="00FC357D">
            <w:pPr>
              <w:pStyle w:val="BodyText1"/>
              <w:ind w:left="0"/>
              <w:jc w:val="left"/>
              <w:rPr>
                <w:rFonts w:asciiTheme="minorHAnsi" w:hAnsiTheme="minorHAnsi"/>
                <w:bCs/>
                <w:sz w:val="23"/>
                <w:szCs w:val="23"/>
                <w:lang w:eastAsia="zh-CN"/>
              </w:rPr>
            </w:pPr>
          </w:p>
        </w:tc>
        <w:tc>
          <w:tcPr>
            <w:tcW w:w="2126" w:type="dxa"/>
            <w:vMerge/>
          </w:tcPr>
          <w:p w:rsidR="0040383E" w:rsidRPr="00AF181E" w:rsidRDefault="0040383E" w:rsidP="00FC357D">
            <w:pPr>
              <w:pStyle w:val="BodyText1"/>
              <w:ind w:left="0"/>
              <w:jc w:val="left"/>
              <w:rPr>
                <w:rFonts w:asciiTheme="minorHAnsi" w:hAnsiTheme="minorHAnsi"/>
                <w:bCs/>
                <w:sz w:val="23"/>
                <w:szCs w:val="23"/>
                <w:lang w:eastAsia="zh-CN"/>
              </w:rPr>
            </w:pPr>
          </w:p>
        </w:tc>
      </w:tr>
      <w:tr w:rsidR="0040383E" w:rsidRPr="00AF181E" w:rsidTr="0040383E">
        <w:tc>
          <w:tcPr>
            <w:tcW w:w="2268" w:type="dxa"/>
          </w:tcPr>
          <w:p w:rsidR="0040383E" w:rsidRPr="00AF181E" w:rsidRDefault="00EE2CF5" w:rsidP="00FC357D">
            <w:pPr>
              <w:pStyle w:val="BodyText1"/>
              <w:ind w:left="0"/>
              <w:rPr>
                <w:rFonts w:asciiTheme="minorHAnsi" w:hAnsiTheme="minorHAnsi"/>
                <w:bCs/>
                <w:sz w:val="23"/>
                <w:szCs w:val="23"/>
                <w:lang w:eastAsia="zh-CN"/>
              </w:rPr>
            </w:pPr>
            <w:r w:rsidRPr="00AF181E">
              <w:rPr>
                <w:rFonts w:asciiTheme="minorHAnsi" w:hAnsiTheme="minorHAnsi"/>
                <w:bCs/>
                <w:sz w:val="23"/>
                <w:szCs w:val="23"/>
                <w:lang w:eastAsia="zh-CN"/>
              </w:rPr>
              <w:t xml:space="preserve">Ballylumford </w:t>
            </w:r>
            <w:r w:rsidR="0040383E" w:rsidRPr="00AF181E">
              <w:rPr>
                <w:rFonts w:asciiTheme="minorHAnsi" w:hAnsiTheme="minorHAnsi"/>
                <w:bCs/>
                <w:sz w:val="23"/>
                <w:szCs w:val="23"/>
                <w:lang w:eastAsia="zh-CN"/>
              </w:rPr>
              <w:t>GT 1</w:t>
            </w:r>
          </w:p>
        </w:tc>
        <w:tc>
          <w:tcPr>
            <w:tcW w:w="1134" w:type="dxa"/>
          </w:tcPr>
          <w:p w:rsidR="0040383E" w:rsidRPr="00AF181E" w:rsidRDefault="0040383E" w:rsidP="00FC357D">
            <w:pPr>
              <w:pStyle w:val="BodyText1"/>
              <w:ind w:left="0"/>
              <w:jc w:val="center"/>
              <w:rPr>
                <w:rFonts w:asciiTheme="minorHAnsi" w:hAnsiTheme="minorHAnsi"/>
                <w:bCs/>
                <w:sz w:val="23"/>
                <w:szCs w:val="23"/>
                <w:lang w:eastAsia="zh-CN"/>
              </w:rPr>
            </w:pPr>
            <w:r w:rsidRPr="00AF181E">
              <w:rPr>
                <w:rFonts w:asciiTheme="minorHAnsi" w:hAnsiTheme="minorHAnsi"/>
                <w:bCs/>
                <w:sz w:val="23"/>
                <w:szCs w:val="23"/>
                <w:lang w:eastAsia="zh-CN"/>
              </w:rPr>
              <w:t>58</w:t>
            </w:r>
          </w:p>
        </w:tc>
        <w:tc>
          <w:tcPr>
            <w:tcW w:w="1134" w:type="dxa"/>
            <w:vMerge w:val="restart"/>
          </w:tcPr>
          <w:p w:rsidR="0040383E" w:rsidRPr="00AF181E" w:rsidRDefault="0040383E" w:rsidP="00FC357D">
            <w:pPr>
              <w:pStyle w:val="BodyText1"/>
              <w:ind w:left="0"/>
              <w:rPr>
                <w:rFonts w:asciiTheme="minorHAnsi" w:hAnsiTheme="minorHAnsi"/>
                <w:bCs/>
                <w:sz w:val="23"/>
                <w:szCs w:val="23"/>
                <w:lang w:eastAsia="zh-CN"/>
              </w:rPr>
            </w:pPr>
            <w:r w:rsidRPr="00AF181E">
              <w:rPr>
                <w:rFonts w:asciiTheme="minorHAnsi" w:hAnsiTheme="minorHAnsi"/>
                <w:bCs/>
                <w:sz w:val="23"/>
                <w:szCs w:val="23"/>
                <w:lang w:eastAsia="zh-CN"/>
              </w:rPr>
              <w:t>Distillate</w:t>
            </w:r>
          </w:p>
        </w:tc>
        <w:tc>
          <w:tcPr>
            <w:tcW w:w="2694" w:type="dxa"/>
            <w:vMerge w:val="restart"/>
          </w:tcPr>
          <w:p w:rsidR="0040383E" w:rsidRPr="00AF181E" w:rsidRDefault="0040383E" w:rsidP="006B1BB7">
            <w:pPr>
              <w:pStyle w:val="BodyText1"/>
              <w:ind w:left="0"/>
              <w:jc w:val="left"/>
              <w:rPr>
                <w:rFonts w:asciiTheme="minorHAnsi" w:hAnsiTheme="minorHAnsi"/>
                <w:bCs/>
                <w:sz w:val="23"/>
                <w:szCs w:val="23"/>
                <w:lang w:eastAsia="zh-CN"/>
              </w:rPr>
            </w:pPr>
            <w:r w:rsidRPr="00AF181E">
              <w:rPr>
                <w:rFonts w:asciiTheme="minorHAnsi" w:hAnsiTheme="minorHAnsi"/>
                <w:bCs/>
                <w:sz w:val="23"/>
                <w:szCs w:val="23"/>
                <w:lang w:eastAsia="zh-CN"/>
              </w:rPr>
              <w:t xml:space="preserve">Contracted with NIEE </w:t>
            </w:r>
            <w:r w:rsidR="00F85680">
              <w:rPr>
                <w:rFonts w:asciiTheme="minorHAnsi" w:hAnsiTheme="minorHAnsi"/>
                <w:bCs/>
                <w:sz w:val="23"/>
                <w:szCs w:val="23"/>
                <w:lang w:eastAsia="zh-CN"/>
              </w:rPr>
              <w:t xml:space="preserve">PPB </w:t>
            </w:r>
            <w:r w:rsidRPr="00AF181E">
              <w:rPr>
                <w:rFonts w:asciiTheme="minorHAnsi" w:hAnsiTheme="minorHAnsi"/>
                <w:bCs/>
                <w:sz w:val="23"/>
                <w:szCs w:val="23"/>
                <w:lang w:eastAsia="zh-CN"/>
              </w:rPr>
              <w:t>until 31 March 2020</w:t>
            </w:r>
            <w:r w:rsidRPr="00AF181E">
              <w:rPr>
                <w:rFonts w:asciiTheme="minorHAnsi" w:hAnsiTheme="minorHAnsi"/>
                <w:sz w:val="23"/>
                <w:szCs w:val="23"/>
              </w:rPr>
              <w:t xml:space="preserve"> </w:t>
            </w:r>
            <w:r w:rsidRPr="00AF181E">
              <w:rPr>
                <w:rFonts w:asciiTheme="minorHAnsi" w:hAnsiTheme="minorHAnsi"/>
                <w:bCs/>
                <w:sz w:val="23"/>
                <w:szCs w:val="23"/>
                <w:lang w:eastAsia="zh-CN"/>
              </w:rPr>
              <w:t>but can be cancelled earlier.</w:t>
            </w:r>
          </w:p>
        </w:tc>
        <w:tc>
          <w:tcPr>
            <w:tcW w:w="2126" w:type="dxa"/>
            <w:vMerge w:val="restart"/>
          </w:tcPr>
          <w:p w:rsidR="0040383E" w:rsidRPr="00AF181E" w:rsidRDefault="0040383E" w:rsidP="006B1BB7">
            <w:pPr>
              <w:pStyle w:val="BodyText1"/>
              <w:ind w:left="0"/>
              <w:jc w:val="left"/>
              <w:rPr>
                <w:rFonts w:asciiTheme="minorHAnsi" w:hAnsiTheme="minorHAnsi"/>
                <w:bCs/>
                <w:sz w:val="23"/>
                <w:szCs w:val="23"/>
                <w:lang w:eastAsia="zh-CN"/>
              </w:rPr>
            </w:pPr>
            <w:r w:rsidRPr="00AF181E">
              <w:rPr>
                <w:rFonts w:asciiTheme="minorHAnsi" w:hAnsiTheme="minorHAnsi"/>
                <w:bCs/>
                <w:sz w:val="23"/>
                <w:szCs w:val="23"/>
                <w:lang w:eastAsia="zh-CN"/>
              </w:rPr>
              <w:t>Peak</w:t>
            </w:r>
          </w:p>
        </w:tc>
      </w:tr>
      <w:tr w:rsidR="0040383E" w:rsidRPr="00AF181E" w:rsidTr="0040383E">
        <w:tc>
          <w:tcPr>
            <w:tcW w:w="2268" w:type="dxa"/>
          </w:tcPr>
          <w:p w:rsidR="0040383E" w:rsidRPr="00AF181E" w:rsidRDefault="00EE2CF5" w:rsidP="00FC357D">
            <w:pPr>
              <w:pStyle w:val="BodyText1"/>
              <w:ind w:left="0"/>
              <w:rPr>
                <w:rFonts w:asciiTheme="minorHAnsi" w:hAnsiTheme="minorHAnsi"/>
                <w:bCs/>
                <w:sz w:val="23"/>
                <w:szCs w:val="23"/>
                <w:lang w:eastAsia="zh-CN"/>
              </w:rPr>
            </w:pPr>
            <w:r w:rsidRPr="00AF181E">
              <w:rPr>
                <w:rFonts w:asciiTheme="minorHAnsi" w:hAnsiTheme="minorHAnsi"/>
                <w:bCs/>
                <w:sz w:val="23"/>
                <w:szCs w:val="23"/>
                <w:lang w:eastAsia="zh-CN"/>
              </w:rPr>
              <w:t xml:space="preserve">Ballylumford </w:t>
            </w:r>
            <w:r w:rsidR="0040383E" w:rsidRPr="00AF181E">
              <w:rPr>
                <w:rFonts w:asciiTheme="minorHAnsi" w:hAnsiTheme="minorHAnsi"/>
                <w:bCs/>
                <w:sz w:val="23"/>
                <w:szCs w:val="23"/>
                <w:lang w:eastAsia="zh-CN"/>
              </w:rPr>
              <w:t>GT 2</w:t>
            </w:r>
          </w:p>
        </w:tc>
        <w:tc>
          <w:tcPr>
            <w:tcW w:w="1134" w:type="dxa"/>
          </w:tcPr>
          <w:p w:rsidR="0040383E" w:rsidRPr="00AF181E" w:rsidRDefault="0040383E" w:rsidP="00FC357D">
            <w:pPr>
              <w:pStyle w:val="BodyText1"/>
              <w:ind w:left="0"/>
              <w:jc w:val="center"/>
              <w:rPr>
                <w:rFonts w:asciiTheme="minorHAnsi" w:hAnsiTheme="minorHAnsi"/>
                <w:bCs/>
                <w:sz w:val="23"/>
                <w:szCs w:val="23"/>
                <w:lang w:eastAsia="zh-CN"/>
              </w:rPr>
            </w:pPr>
            <w:r w:rsidRPr="00AF181E">
              <w:rPr>
                <w:rFonts w:asciiTheme="minorHAnsi" w:hAnsiTheme="minorHAnsi"/>
                <w:bCs/>
                <w:sz w:val="23"/>
                <w:szCs w:val="23"/>
                <w:lang w:eastAsia="zh-CN"/>
              </w:rPr>
              <w:t>58</w:t>
            </w:r>
          </w:p>
        </w:tc>
        <w:tc>
          <w:tcPr>
            <w:tcW w:w="1134" w:type="dxa"/>
            <w:vMerge/>
          </w:tcPr>
          <w:p w:rsidR="0040383E" w:rsidRPr="00AF181E" w:rsidRDefault="0040383E" w:rsidP="00FC357D">
            <w:pPr>
              <w:pStyle w:val="BodyText1"/>
              <w:ind w:left="0"/>
              <w:rPr>
                <w:rFonts w:asciiTheme="minorHAnsi" w:hAnsiTheme="minorHAnsi"/>
                <w:bCs/>
                <w:sz w:val="23"/>
                <w:szCs w:val="23"/>
                <w:lang w:eastAsia="zh-CN"/>
              </w:rPr>
            </w:pPr>
          </w:p>
        </w:tc>
        <w:tc>
          <w:tcPr>
            <w:tcW w:w="2694" w:type="dxa"/>
            <w:vMerge/>
          </w:tcPr>
          <w:p w:rsidR="0040383E" w:rsidRPr="00AF181E" w:rsidRDefault="0040383E" w:rsidP="00FC357D">
            <w:pPr>
              <w:pStyle w:val="BodyText1"/>
              <w:ind w:left="0"/>
              <w:jc w:val="left"/>
              <w:rPr>
                <w:rFonts w:asciiTheme="minorHAnsi" w:hAnsiTheme="minorHAnsi"/>
                <w:bCs/>
                <w:sz w:val="23"/>
                <w:szCs w:val="23"/>
                <w:lang w:eastAsia="zh-CN"/>
              </w:rPr>
            </w:pPr>
          </w:p>
        </w:tc>
        <w:tc>
          <w:tcPr>
            <w:tcW w:w="2126" w:type="dxa"/>
            <w:vMerge/>
          </w:tcPr>
          <w:p w:rsidR="0040383E" w:rsidRPr="00AF181E" w:rsidRDefault="0040383E" w:rsidP="00FC357D">
            <w:pPr>
              <w:pStyle w:val="BodyText1"/>
              <w:ind w:left="0"/>
              <w:jc w:val="left"/>
              <w:rPr>
                <w:rFonts w:asciiTheme="minorHAnsi" w:hAnsiTheme="minorHAnsi"/>
                <w:bCs/>
                <w:sz w:val="23"/>
                <w:szCs w:val="23"/>
                <w:lang w:eastAsia="zh-CN"/>
              </w:rPr>
            </w:pPr>
          </w:p>
        </w:tc>
      </w:tr>
      <w:tr w:rsidR="0040383E" w:rsidRPr="00AF181E" w:rsidTr="0040383E">
        <w:tc>
          <w:tcPr>
            <w:tcW w:w="2268" w:type="dxa"/>
          </w:tcPr>
          <w:p w:rsidR="0040383E" w:rsidRPr="00AF181E" w:rsidRDefault="0040383E" w:rsidP="00FC357D">
            <w:pPr>
              <w:pStyle w:val="BodyText1"/>
              <w:ind w:left="0"/>
              <w:rPr>
                <w:rFonts w:asciiTheme="minorHAnsi" w:hAnsiTheme="minorHAnsi"/>
                <w:bCs/>
                <w:sz w:val="23"/>
                <w:szCs w:val="23"/>
                <w:lang w:eastAsia="zh-CN"/>
              </w:rPr>
            </w:pPr>
            <w:r w:rsidRPr="00AF181E">
              <w:rPr>
                <w:rFonts w:asciiTheme="minorHAnsi" w:hAnsiTheme="minorHAnsi"/>
                <w:bCs/>
                <w:sz w:val="23"/>
                <w:szCs w:val="23"/>
                <w:lang w:eastAsia="zh-CN"/>
              </w:rPr>
              <w:t>Ballylumford CCGT 1</w:t>
            </w:r>
          </w:p>
        </w:tc>
        <w:tc>
          <w:tcPr>
            <w:tcW w:w="1134" w:type="dxa"/>
          </w:tcPr>
          <w:p w:rsidR="0040383E" w:rsidRPr="00AF181E" w:rsidRDefault="0040383E" w:rsidP="00FC357D">
            <w:pPr>
              <w:pStyle w:val="BodyText1"/>
              <w:ind w:left="0"/>
              <w:jc w:val="center"/>
              <w:rPr>
                <w:rFonts w:asciiTheme="minorHAnsi" w:hAnsiTheme="minorHAnsi"/>
                <w:bCs/>
                <w:sz w:val="23"/>
                <w:szCs w:val="23"/>
                <w:lang w:eastAsia="zh-CN"/>
              </w:rPr>
            </w:pPr>
            <w:r w:rsidRPr="00AF181E">
              <w:rPr>
                <w:rFonts w:asciiTheme="minorHAnsi" w:hAnsiTheme="minorHAnsi"/>
                <w:bCs/>
                <w:sz w:val="23"/>
                <w:szCs w:val="23"/>
                <w:lang w:eastAsia="zh-CN"/>
              </w:rPr>
              <w:t>245</w:t>
            </w:r>
          </w:p>
        </w:tc>
        <w:tc>
          <w:tcPr>
            <w:tcW w:w="1134" w:type="dxa"/>
            <w:vMerge w:val="restart"/>
          </w:tcPr>
          <w:p w:rsidR="0040383E" w:rsidRPr="00AF181E" w:rsidRDefault="0040383E" w:rsidP="00FC357D">
            <w:pPr>
              <w:pStyle w:val="BodyText1"/>
              <w:ind w:left="0"/>
              <w:rPr>
                <w:rFonts w:asciiTheme="minorHAnsi" w:hAnsiTheme="minorHAnsi"/>
                <w:bCs/>
                <w:sz w:val="23"/>
                <w:szCs w:val="23"/>
                <w:lang w:eastAsia="zh-CN"/>
              </w:rPr>
            </w:pPr>
            <w:r w:rsidRPr="00AF181E">
              <w:rPr>
                <w:rFonts w:asciiTheme="minorHAnsi" w:hAnsiTheme="minorHAnsi"/>
                <w:bCs/>
                <w:sz w:val="23"/>
                <w:szCs w:val="23"/>
                <w:lang w:eastAsia="zh-CN"/>
              </w:rPr>
              <w:t>Natural gas</w:t>
            </w:r>
          </w:p>
          <w:p w:rsidR="0040383E" w:rsidRPr="00AF181E" w:rsidRDefault="0040383E" w:rsidP="00FC357D">
            <w:pPr>
              <w:pStyle w:val="BodyText1"/>
              <w:ind w:left="0"/>
              <w:rPr>
                <w:rFonts w:asciiTheme="minorHAnsi" w:hAnsiTheme="minorHAnsi"/>
                <w:bCs/>
                <w:sz w:val="23"/>
                <w:szCs w:val="23"/>
                <w:lang w:eastAsia="zh-CN"/>
              </w:rPr>
            </w:pPr>
          </w:p>
        </w:tc>
        <w:tc>
          <w:tcPr>
            <w:tcW w:w="2694" w:type="dxa"/>
            <w:vMerge w:val="restart"/>
          </w:tcPr>
          <w:p w:rsidR="0040383E" w:rsidRPr="00AF181E" w:rsidRDefault="0040383E" w:rsidP="008A68ED">
            <w:pPr>
              <w:pStyle w:val="BodyText1"/>
              <w:ind w:left="0"/>
              <w:jc w:val="left"/>
              <w:rPr>
                <w:rFonts w:asciiTheme="minorHAnsi" w:hAnsiTheme="minorHAnsi"/>
                <w:bCs/>
                <w:sz w:val="23"/>
                <w:szCs w:val="23"/>
                <w:lang w:eastAsia="zh-CN"/>
              </w:rPr>
            </w:pPr>
            <w:r w:rsidRPr="00AF181E">
              <w:rPr>
                <w:rFonts w:asciiTheme="minorHAnsi" w:hAnsiTheme="minorHAnsi"/>
                <w:bCs/>
                <w:sz w:val="23"/>
                <w:szCs w:val="23"/>
                <w:lang w:eastAsia="zh-CN"/>
              </w:rPr>
              <w:t xml:space="preserve">Contracted with NIEE </w:t>
            </w:r>
            <w:r w:rsidR="00F85680">
              <w:rPr>
                <w:rFonts w:asciiTheme="minorHAnsi" w:hAnsiTheme="minorHAnsi"/>
                <w:bCs/>
                <w:sz w:val="23"/>
                <w:szCs w:val="23"/>
                <w:lang w:eastAsia="zh-CN"/>
              </w:rPr>
              <w:t xml:space="preserve">PPB </w:t>
            </w:r>
            <w:r w:rsidRPr="00AF181E">
              <w:rPr>
                <w:rFonts w:asciiTheme="minorHAnsi" w:hAnsiTheme="minorHAnsi"/>
                <w:bCs/>
                <w:sz w:val="23"/>
                <w:szCs w:val="23"/>
                <w:lang w:eastAsia="zh-CN"/>
              </w:rPr>
              <w:t>until 31 March 2018, with an option to extend to 2023 at NIEE</w:t>
            </w:r>
            <w:r w:rsidR="00F85680">
              <w:rPr>
                <w:rFonts w:asciiTheme="minorHAnsi" w:hAnsiTheme="minorHAnsi"/>
                <w:bCs/>
                <w:sz w:val="23"/>
                <w:szCs w:val="23"/>
                <w:lang w:eastAsia="zh-CN"/>
              </w:rPr>
              <w:t xml:space="preserve"> PPB</w:t>
            </w:r>
            <w:r w:rsidRPr="00AF181E">
              <w:rPr>
                <w:rFonts w:asciiTheme="minorHAnsi" w:hAnsiTheme="minorHAnsi"/>
                <w:bCs/>
                <w:sz w:val="23"/>
                <w:szCs w:val="23"/>
                <w:lang w:eastAsia="zh-CN"/>
              </w:rPr>
              <w:t>'s election.</w:t>
            </w:r>
          </w:p>
        </w:tc>
        <w:tc>
          <w:tcPr>
            <w:tcW w:w="2126" w:type="dxa"/>
            <w:vMerge w:val="restart"/>
          </w:tcPr>
          <w:p w:rsidR="0040383E" w:rsidRPr="00AF181E" w:rsidRDefault="0040383E" w:rsidP="00EE2CF5">
            <w:pPr>
              <w:pStyle w:val="BodyText1"/>
              <w:ind w:left="0"/>
              <w:jc w:val="left"/>
              <w:rPr>
                <w:rFonts w:asciiTheme="minorHAnsi" w:hAnsiTheme="minorHAnsi"/>
                <w:bCs/>
                <w:sz w:val="23"/>
                <w:szCs w:val="23"/>
                <w:lang w:eastAsia="zh-CN"/>
              </w:rPr>
            </w:pPr>
            <w:r w:rsidRPr="00AF181E">
              <w:rPr>
                <w:rFonts w:asciiTheme="minorHAnsi" w:hAnsiTheme="minorHAnsi"/>
                <w:bCs/>
                <w:sz w:val="23"/>
                <w:szCs w:val="23"/>
                <w:lang w:eastAsia="zh-CN"/>
              </w:rPr>
              <w:t>Mid-merit</w:t>
            </w:r>
            <w:r w:rsidR="00EE2CF5" w:rsidRPr="00AF181E">
              <w:rPr>
                <w:rFonts w:asciiTheme="minorHAnsi" w:hAnsiTheme="minorHAnsi"/>
                <w:bCs/>
                <w:sz w:val="23"/>
                <w:szCs w:val="23"/>
                <w:lang w:eastAsia="zh-CN"/>
              </w:rPr>
              <w:t>/Peak</w:t>
            </w:r>
          </w:p>
        </w:tc>
      </w:tr>
      <w:tr w:rsidR="0040383E" w:rsidRPr="00AF181E" w:rsidTr="0040383E">
        <w:tc>
          <w:tcPr>
            <w:tcW w:w="2268" w:type="dxa"/>
          </w:tcPr>
          <w:p w:rsidR="0040383E" w:rsidRPr="00AF181E" w:rsidRDefault="0040383E" w:rsidP="00FC357D">
            <w:pPr>
              <w:pStyle w:val="BodyText1"/>
              <w:ind w:left="0"/>
              <w:rPr>
                <w:rFonts w:asciiTheme="minorHAnsi" w:hAnsiTheme="minorHAnsi"/>
                <w:bCs/>
                <w:sz w:val="23"/>
                <w:szCs w:val="23"/>
                <w:lang w:eastAsia="zh-CN"/>
              </w:rPr>
            </w:pPr>
            <w:r w:rsidRPr="00AF181E">
              <w:rPr>
                <w:rFonts w:asciiTheme="minorHAnsi" w:hAnsiTheme="minorHAnsi"/>
                <w:bCs/>
                <w:sz w:val="23"/>
                <w:szCs w:val="23"/>
                <w:lang w:eastAsia="zh-CN"/>
              </w:rPr>
              <w:t>Ballylumford CCGT 2</w:t>
            </w:r>
          </w:p>
        </w:tc>
        <w:tc>
          <w:tcPr>
            <w:tcW w:w="1134" w:type="dxa"/>
          </w:tcPr>
          <w:p w:rsidR="0040383E" w:rsidRPr="00AF181E" w:rsidRDefault="0040383E" w:rsidP="00FC357D">
            <w:pPr>
              <w:pStyle w:val="BodyText1"/>
              <w:ind w:left="0"/>
              <w:jc w:val="center"/>
              <w:rPr>
                <w:rFonts w:asciiTheme="minorHAnsi" w:hAnsiTheme="minorHAnsi"/>
                <w:bCs/>
                <w:sz w:val="23"/>
                <w:szCs w:val="23"/>
                <w:lang w:eastAsia="zh-CN"/>
              </w:rPr>
            </w:pPr>
            <w:r w:rsidRPr="00AF181E">
              <w:rPr>
                <w:rFonts w:asciiTheme="minorHAnsi" w:hAnsiTheme="minorHAnsi"/>
                <w:bCs/>
                <w:sz w:val="23"/>
                <w:szCs w:val="23"/>
                <w:lang w:eastAsia="zh-CN"/>
              </w:rPr>
              <w:t>245</w:t>
            </w:r>
          </w:p>
        </w:tc>
        <w:tc>
          <w:tcPr>
            <w:tcW w:w="1134" w:type="dxa"/>
            <w:vMerge/>
          </w:tcPr>
          <w:p w:rsidR="0040383E" w:rsidRPr="00AF181E" w:rsidRDefault="0040383E" w:rsidP="00FC357D">
            <w:pPr>
              <w:pStyle w:val="BodyText1"/>
              <w:ind w:left="0"/>
              <w:rPr>
                <w:rFonts w:asciiTheme="minorHAnsi" w:hAnsiTheme="minorHAnsi"/>
                <w:bCs/>
                <w:sz w:val="23"/>
                <w:szCs w:val="23"/>
                <w:lang w:eastAsia="zh-CN"/>
              </w:rPr>
            </w:pPr>
          </w:p>
        </w:tc>
        <w:tc>
          <w:tcPr>
            <w:tcW w:w="2694" w:type="dxa"/>
            <w:vMerge/>
          </w:tcPr>
          <w:p w:rsidR="0040383E" w:rsidRPr="00AF181E" w:rsidRDefault="0040383E" w:rsidP="00FC357D">
            <w:pPr>
              <w:pStyle w:val="BodyText1"/>
              <w:ind w:left="0"/>
              <w:rPr>
                <w:rFonts w:asciiTheme="minorHAnsi" w:hAnsiTheme="minorHAnsi"/>
                <w:bCs/>
                <w:sz w:val="23"/>
                <w:szCs w:val="23"/>
                <w:lang w:eastAsia="zh-CN"/>
              </w:rPr>
            </w:pPr>
          </w:p>
        </w:tc>
        <w:tc>
          <w:tcPr>
            <w:tcW w:w="2126" w:type="dxa"/>
            <w:vMerge/>
          </w:tcPr>
          <w:p w:rsidR="0040383E" w:rsidRPr="00AF181E" w:rsidRDefault="0040383E" w:rsidP="00FC357D">
            <w:pPr>
              <w:pStyle w:val="BodyText1"/>
              <w:ind w:left="0"/>
              <w:rPr>
                <w:rFonts w:asciiTheme="minorHAnsi" w:hAnsiTheme="minorHAnsi"/>
                <w:bCs/>
                <w:sz w:val="23"/>
                <w:szCs w:val="23"/>
                <w:lang w:eastAsia="zh-CN"/>
              </w:rPr>
            </w:pPr>
          </w:p>
        </w:tc>
      </w:tr>
      <w:tr w:rsidR="0040383E" w:rsidRPr="00AF181E" w:rsidTr="0040383E">
        <w:tc>
          <w:tcPr>
            <w:tcW w:w="2268" w:type="dxa"/>
          </w:tcPr>
          <w:p w:rsidR="0040383E" w:rsidRPr="00AF181E" w:rsidRDefault="0040383E" w:rsidP="00FC357D">
            <w:pPr>
              <w:pStyle w:val="BodyText1"/>
              <w:ind w:left="0"/>
              <w:rPr>
                <w:rFonts w:asciiTheme="minorHAnsi" w:hAnsiTheme="minorHAnsi"/>
                <w:bCs/>
                <w:sz w:val="23"/>
                <w:szCs w:val="23"/>
                <w:lang w:eastAsia="zh-CN"/>
              </w:rPr>
            </w:pPr>
            <w:r w:rsidRPr="00AF181E">
              <w:rPr>
                <w:rFonts w:asciiTheme="minorHAnsi" w:hAnsiTheme="minorHAnsi"/>
                <w:bCs/>
                <w:sz w:val="23"/>
                <w:szCs w:val="23"/>
                <w:lang w:eastAsia="zh-CN"/>
              </w:rPr>
              <w:t>Ballylumford CCGT 3</w:t>
            </w:r>
          </w:p>
        </w:tc>
        <w:tc>
          <w:tcPr>
            <w:tcW w:w="1134" w:type="dxa"/>
          </w:tcPr>
          <w:p w:rsidR="0040383E" w:rsidRPr="00AF181E" w:rsidRDefault="0040383E" w:rsidP="00FC357D">
            <w:pPr>
              <w:pStyle w:val="BodyText1"/>
              <w:ind w:left="0"/>
              <w:jc w:val="center"/>
              <w:rPr>
                <w:rFonts w:asciiTheme="minorHAnsi" w:hAnsiTheme="minorHAnsi"/>
                <w:bCs/>
                <w:sz w:val="23"/>
                <w:szCs w:val="23"/>
                <w:lang w:eastAsia="zh-CN"/>
              </w:rPr>
            </w:pPr>
            <w:r w:rsidRPr="00AF181E">
              <w:rPr>
                <w:rFonts w:asciiTheme="minorHAnsi" w:hAnsiTheme="minorHAnsi"/>
                <w:bCs/>
                <w:sz w:val="23"/>
                <w:szCs w:val="23"/>
                <w:lang w:eastAsia="zh-CN"/>
              </w:rPr>
              <w:t>97</w:t>
            </w:r>
          </w:p>
        </w:tc>
        <w:tc>
          <w:tcPr>
            <w:tcW w:w="1134" w:type="dxa"/>
            <w:vMerge/>
          </w:tcPr>
          <w:p w:rsidR="0040383E" w:rsidRPr="00AF181E" w:rsidRDefault="0040383E" w:rsidP="00FC357D">
            <w:pPr>
              <w:pStyle w:val="BodyText1"/>
              <w:ind w:left="0"/>
              <w:rPr>
                <w:rFonts w:asciiTheme="minorHAnsi" w:hAnsiTheme="minorHAnsi"/>
                <w:bCs/>
                <w:sz w:val="23"/>
                <w:szCs w:val="23"/>
                <w:lang w:eastAsia="zh-CN"/>
              </w:rPr>
            </w:pPr>
          </w:p>
        </w:tc>
        <w:tc>
          <w:tcPr>
            <w:tcW w:w="2694" w:type="dxa"/>
            <w:vMerge/>
          </w:tcPr>
          <w:p w:rsidR="0040383E" w:rsidRPr="00AF181E" w:rsidRDefault="0040383E" w:rsidP="00FC357D">
            <w:pPr>
              <w:pStyle w:val="BodyText1"/>
              <w:ind w:left="0"/>
              <w:rPr>
                <w:rFonts w:asciiTheme="minorHAnsi" w:hAnsiTheme="minorHAnsi"/>
                <w:bCs/>
                <w:sz w:val="23"/>
                <w:szCs w:val="23"/>
                <w:lang w:eastAsia="zh-CN"/>
              </w:rPr>
            </w:pPr>
          </w:p>
        </w:tc>
        <w:tc>
          <w:tcPr>
            <w:tcW w:w="2126" w:type="dxa"/>
            <w:vMerge/>
          </w:tcPr>
          <w:p w:rsidR="0040383E" w:rsidRPr="00AF181E" w:rsidRDefault="0040383E" w:rsidP="00FC357D">
            <w:pPr>
              <w:pStyle w:val="BodyText1"/>
              <w:ind w:left="0"/>
              <w:rPr>
                <w:rFonts w:asciiTheme="minorHAnsi" w:hAnsiTheme="minorHAnsi"/>
                <w:bCs/>
                <w:sz w:val="23"/>
                <w:szCs w:val="23"/>
                <w:lang w:eastAsia="zh-CN"/>
              </w:rPr>
            </w:pPr>
          </w:p>
        </w:tc>
      </w:tr>
      <w:tr w:rsidR="0040383E" w:rsidRPr="00AF181E" w:rsidTr="0040383E">
        <w:tc>
          <w:tcPr>
            <w:tcW w:w="2268" w:type="dxa"/>
          </w:tcPr>
          <w:p w:rsidR="0040383E" w:rsidRPr="00AF181E" w:rsidRDefault="0040383E" w:rsidP="00FC357D">
            <w:pPr>
              <w:pStyle w:val="BodyText1"/>
              <w:ind w:left="0"/>
              <w:rPr>
                <w:rFonts w:asciiTheme="minorHAnsi" w:hAnsiTheme="minorHAnsi"/>
                <w:bCs/>
                <w:sz w:val="23"/>
                <w:szCs w:val="23"/>
                <w:lang w:eastAsia="zh-CN"/>
              </w:rPr>
            </w:pPr>
            <w:r w:rsidRPr="00AF181E">
              <w:rPr>
                <w:rFonts w:asciiTheme="minorHAnsi" w:hAnsiTheme="minorHAnsi"/>
                <w:bCs/>
                <w:sz w:val="23"/>
                <w:szCs w:val="23"/>
                <w:lang w:eastAsia="zh-CN"/>
              </w:rPr>
              <w:t>Kilroot 1</w:t>
            </w:r>
          </w:p>
        </w:tc>
        <w:tc>
          <w:tcPr>
            <w:tcW w:w="1134" w:type="dxa"/>
          </w:tcPr>
          <w:p w:rsidR="0040383E" w:rsidRPr="00AF181E" w:rsidRDefault="0040383E" w:rsidP="00FC357D">
            <w:pPr>
              <w:pStyle w:val="BodyText1"/>
              <w:ind w:left="0"/>
              <w:jc w:val="center"/>
              <w:rPr>
                <w:rFonts w:asciiTheme="minorHAnsi" w:hAnsiTheme="minorHAnsi"/>
                <w:bCs/>
                <w:sz w:val="23"/>
                <w:szCs w:val="23"/>
                <w:lang w:eastAsia="zh-CN"/>
              </w:rPr>
            </w:pPr>
            <w:r w:rsidRPr="00AF181E">
              <w:rPr>
                <w:rFonts w:asciiTheme="minorHAnsi" w:hAnsiTheme="minorHAnsi"/>
                <w:bCs/>
                <w:sz w:val="23"/>
                <w:szCs w:val="23"/>
                <w:lang w:eastAsia="zh-CN"/>
              </w:rPr>
              <w:t>238</w:t>
            </w:r>
          </w:p>
        </w:tc>
        <w:tc>
          <w:tcPr>
            <w:tcW w:w="1134" w:type="dxa"/>
            <w:vMerge w:val="restart"/>
          </w:tcPr>
          <w:p w:rsidR="0040383E" w:rsidRPr="00AF181E" w:rsidRDefault="0040383E" w:rsidP="00FC357D">
            <w:pPr>
              <w:pStyle w:val="BodyText1"/>
              <w:ind w:left="0"/>
              <w:rPr>
                <w:rFonts w:asciiTheme="minorHAnsi" w:hAnsiTheme="minorHAnsi"/>
                <w:bCs/>
                <w:sz w:val="23"/>
                <w:szCs w:val="23"/>
                <w:lang w:eastAsia="zh-CN"/>
              </w:rPr>
            </w:pPr>
            <w:r w:rsidRPr="00AF181E">
              <w:rPr>
                <w:rFonts w:asciiTheme="minorHAnsi" w:hAnsiTheme="minorHAnsi"/>
                <w:bCs/>
                <w:sz w:val="23"/>
                <w:szCs w:val="23"/>
                <w:lang w:eastAsia="zh-CN"/>
              </w:rPr>
              <w:t>Coal &amp; HFO</w:t>
            </w:r>
          </w:p>
        </w:tc>
        <w:tc>
          <w:tcPr>
            <w:tcW w:w="2694" w:type="dxa"/>
            <w:vMerge w:val="restart"/>
          </w:tcPr>
          <w:p w:rsidR="0040383E" w:rsidRPr="00AF181E" w:rsidRDefault="0040383E" w:rsidP="00FC357D">
            <w:pPr>
              <w:pStyle w:val="BodyText1"/>
              <w:ind w:left="0"/>
              <w:rPr>
                <w:rFonts w:asciiTheme="minorHAnsi" w:hAnsiTheme="minorHAnsi"/>
                <w:bCs/>
                <w:sz w:val="23"/>
                <w:szCs w:val="23"/>
                <w:lang w:eastAsia="zh-CN"/>
              </w:rPr>
            </w:pPr>
            <w:r w:rsidRPr="00AF181E">
              <w:rPr>
                <w:rFonts w:asciiTheme="minorHAnsi" w:hAnsiTheme="minorHAnsi"/>
                <w:bCs/>
                <w:sz w:val="23"/>
                <w:szCs w:val="23"/>
                <w:lang w:eastAsia="zh-CN"/>
              </w:rPr>
              <w:t>Uncontracted</w:t>
            </w:r>
          </w:p>
        </w:tc>
        <w:tc>
          <w:tcPr>
            <w:tcW w:w="2126" w:type="dxa"/>
            <w:vMerge w:val="restart"/>
          </w:tcPr>
          <w:p w:rsidR="0040383E" w:rsidRPr="00AF181E" w:rsidRDefault="00EE2CF5" w:rsidP="00EE2CF5">
            <w:pPr>
              <w:pStyle w:val="BodyText1"/>
              <w:ind w:left="0"/>
              <w:jc w:val="left"/>
              <w:rPr>
                <w:rFonts w:asciiTheme="minorHAnsi" w:hAnsiTheme="minorHAnsi"/>
                <w:bCs/>
                <w:sz w:val="23"/>
                <w:szCs w:val="23"/>
                <w:lang w:eastAsia="zh-CN"/>
              </w:rPr>
            </w:pPr>
            <w:r w:rsidRPr="00AF181E">
              <w:rPr>
                <w:rFonts w:asciiTheme="minorHAnsi" w:hAnsiTheme="minorHAnsi"/>
                <w:bCs/>
                <w:sz w:val="23"/>
                <w:szCs w:val="23"/>
                <w:lang w:eastAsia="zh-CN"/>
              </w:rPr>
              <w:t>Pe</w:t>
            </w:r>
            <w:r w:rsidR="0040383E" w:rsidRPr="00AF181E">
              <w:rPr>
                <w:rFonts w:asciiTheme="minorHAnsi" w:hAnsiTheme="minorHAnsi"/>
                <w:bCs/>
                <w:sz w:val="23"/>
                <w:szCs w:val="23"/>
                <w:lang w:eastAsia="zh-CN"/>
              </w:rPr>
              <w:t>ak</w:t>
            </w:r>
          </w:p>
        </w:tc>
      </w:tr>
      <w:tr w:rsidR="0040383E" w:rsidRPr="00AF181E" w:rsidTr="0040383E">
        <w:tc>
          <w:tcPr>
            <w:tcW w:w="2268" w:type="dxa"/>
          </w:tcPr>
          <w:p w:rsidR="0040383E" w:rsidRPr="00AF181E" w:rsidRDefault="0040383E" w:rsidP="00FC357D">
            <w:pPr>
              <w:pStyle w:val="BodyText1"/>
              <w:ind w:left="0"/>
              <w:rPr>
                <w:rFonts w:asciiTheme="minorHAnsi" w:hAnsiTheme="minorHAnsi"/>
                <w:bCs/>
                <w:sz w:val="23"/>
                <w:szCs w:val="23"/>
                <w:lang w:eastAsia="zh-CN"/>
              </w:rPr>
            </w:pPr>
            <w:r w:rsidRPr="00AF181E">
              <w:rPr>
                <w:rFonts w:asciiTheme="minorHAnsi" w:hAnsiTheme="minorHAnsi"/>
                <w:bCs/>
                <w:sz w:val="23"/>
                <w:szCs w:val="23"/>
                <w:lang w:eastAsia="zh-CN"/>
              </w:rPr>
              <w:t>Kilroot 2</w:t>
            </w:r>
          </w:p>
        </w:tc>
        <w:tc>
          <w:tcPr>
            <w:tcW w:w="1134" w:type="dxa"/>
          </w:tcPr>
          <w:p w:rsidR="0040383E" w:rsidRPr="00AF181E" w:rsidRDefault="0040383E" w:rsidP="00FC357D">
            <w:pPr>
              <w:pStyle w:val="BodyText1"/>
              <w:ind w:left="0"/>
              <w:jc w:val="center"/>
              <w:rPr>
                <w:rFonts w:asciiTheme="minorHAnsi" w:hAnsiTheme="minorHAnsi"/>
                <w:bCs/>
                <w:sz w:val="23"/>
                <w:szCs w:val="23"/>
                <w:lang w:eastAsia="zh-CN"/>
              </w:rPr>
            </w:pPr>
            <w:r w:rsidRPr="00AF181E">
              <w:rPr>
                <w:rFonts w:asciiTheme="minorHAnsi" w:hAnsiTheme="minorHAnsi"/>
                <w:bCs/>
                <w:sz w:val="23"/>
                <w:szCs w:val="23"/>
                <w:lang w:eastAsia="zh-CN"/>
              </w:rPr>
              <w:t>238</w:t>
            </w:r>
          </w:p>
        </w:tc>
        <w:tc>
          <w:tcPr>
            <w:tcW w:w="1134" w:type="dxa"/>
            <w:vMerge/>
          </w:tcPr>
          <w:p w:rsidR="0040383E" w:rsidRPr="00AF181E" w:rsidRDefault="0040383E" w:rsidP="00FC357D">
            <w:pPr>
              <w:pStyle w:val="BodyText1"/>
              <w:ind w:left="0"/>
              <w:rPr>
                <w:rFonts w:asciiTheme="minorHAnsi" w:hAnsiTheme="minorHAnsi"/>
                <w:bCs/>
                <w:sz w:val="23"/>
                <w:szCs w:val="23"/>
                <w:lang w:eastAsia="zh-CN"/>
              </w:rPr>
            </w:pPr>
          </w:p>
        </w:tc>
        <w:tc>
          <w:tcPr>
            <w:tcW w:w="2694" w:type="dxa"/>
            <w:vMerge/>
          </w:tcPr>
          <w:p w:rsidR="0040383E" w:rsidRPr="00AF181E" w:rsidRDefault="0040383E" w:rsidP="00FC357D">
            <w:pPr>
              <w:pStyle w:val="BodyText1"/>
              <w:ind w:left="0"/>
              <w:rPr>
                <w:rFonts w:asciiTheme="minorHAnsi" w:hAnsiTheme="minorHAnsi"/>
                <w:bCs/>
                <w:sz w:val="23"/>
                <w:szCs w:val="23"/>
                <w:lang w:eastAsia="zh-CN"/>
              </w:rPr>
            </w:pPr>
          </w:p>
        </w:tc>
        <w:tc>
          <w:tcPr>
            <w:tcW w:w="2126" w:type="dxa"/>
            <w:vMerge/>
          </w:tcPr>
          <w:p w:rsidR="0040383E" w:rsidRPr="00AF181E" w:rsidRDefault="0040383E" w:rsidP="00FC357D">
            <w:pPr>
              <w:pStyle w:val="BodyText1"/>
              <w:ind w:left="0"/>
              <w:rPr>
                <w:rFonts w:asciiTheme="minorHAnsi" w:hAnsiTheme="minorHAnsi"/>
                <w:bCs/>
                <w:sz w:val="23"/>
                <w:szCs w:val="23"/>
                <w:lang w:eastAsia="zh-CN"/>
              </w:rPr>
            </w:pPr>
          </w:p>
        </w:tc>
      </w:tr>
      <w:tr w:rsidR="0040383E" w:rsidRPr="00AF181E" w:rsidTr="0040383E">
        <w:tc>
          <w:tcPr>
            <w:tcW w:w="2268" w:type="dxa"/>
          </w:tcPr>
          <w:p w:rsidR="0040383E" w:rsidRPr="00AF181E" w:rsidRDefault="0040383E" w:rsidP="008A68ED">
            <w:pPr>
              <w:pStyle w:val="BodyText1"/>
              <w:ind w:left="0"/>
              <w:rPr>
                <w:rFonts w:asciiTheme="minorHAnsi" w:hAnsiTheme="minorHAnsi"/>
                <w:bCs/>
                <w:sz w:val="23"/>
                <w:szCs w:val="23"/>
                <w:lang w:eastAsia="zh-CN"/>
              </w:rPr>
            </w:pPr>
            <w:r w:rsidRPr="00AF181E">
              <w:rPr>
                <w:rFonts w:asciiTheme="minorHAnsi" w:hAnsiTheme="minorHAnsi"/>
                <w:bCs/>
                <w:sz w:val="23"/>
                <w:szCs w:val="23"/>
                <w:lang w:eastAsia="zh-CN"/>
              </w:rPr>
              <w:t>Kilroot GT 1</w:t>
            </w:r>
          </w:p>
        </w:tc>
        <w:tc>
          <w:tcPr>
            <w:tcW w:w="1134" w:type="dxa"/>
          </w:tcPr>
          <w:p w:rsidR="0040383E" w:rsidRPr="00AF181E" w:rsidRDefault="0040383E" w:rsidP="00FC357D">
            <w:pPr>
              <w:pStyle w:val="BodyText1"/>
              <w:ind w:left="0"/>
              <w:jc w:val="center"/>
              <w:rPr>
                <w:rFonts w:asciiTheme="minorHAnsi" w:hAnsiTheme="minorHAnsi"/>
                <w:bCs/>
                <w:sz w:val="23"/>
                <w:szCs w:val="23"/>
                <w:lang w:eastAsia="zh-CN"/>
              </w:rPr>
            </w:pPr>
            <w:r w:rsidRPr="00AF181E">
              <w:rPr>
                <w:rFonts w:asciiTheme="minorHAnsi" w:hAnsiTheme="minorHAnsi"/>
                <w:bCs/>
                <w:sz w:val="23"/>
                <w:szCs w:val="23"/>
                <w:lang w:eastAsia="zh-CN"/>
              </w:rPr>
              <w:t>29</w:t>
            </w:r>
          </w:p>
        </w:tc>
        <w:tc>
          <w:tcPr>
            <w:tcW w:w="1134" w:type="dxa"/>
            <w:vMerge w:val="restart"/>
          </w:tcPr>
          <w:p w:rsidR="0040383E" w:rsidRPr="00AF181E" w:rsidRDefault="0040383E" w:rsidP="00FC357D">
            <w:pPr>
              <w:pStyle w:val="BodyText1"/>
              <w:ind w:left="0"/>
              <w:rPr>
                <w:rFonts w:asciiTheme="minorHAnsi" w:hAnsiTheme="minorHAnsi"/>
                <w:bCs/>
                <w:sz w:val="23"/>
                <w:szCs w:val="23"/>
                <w:lang w:eastAsia="zh-CN"/>
              </w:rPr>
            </w:pPr>
            <w:r w:rsidRPr="00AF181E">
              <w:rPr>
                <w:rFonts w:asciiTheme="minorHAnsi" w:hAnsiTheme="minorHAnsi"/>
                <w:bCs/>
                <w:sz w:val="23"/>
                <w:szCs w:val="23"/>
                <w:lang w:eastAsia="zh-CN"/>
              </w:rPr>
              <w:t>Distillate</w:t>
            </w:r>
          </w:p>
        </w:tc>
        <w:tc>
          <w:tcPr>
            <w:tcW w:w="2694" w:type="dxa"/>
            <w:vMerge w:val="restart"/>
          </w:tcPr>
          <w:p w:rsidR="0040383E" w:rsidRPr="00AF181E" w:rsidRDefault="0040383E" w:rsidP="00FC357D">
            <w:pPr>
              <w:pStyle w:val="BodyText1"/>
              <w:ind w:left="0"/>
              <w:rPr>
                <w:rFonts w:asciiTheme="minorHAnsi" w:hAnsiTheme="minorHAnsi"/>
                <w:bCs/>
                <w:sz w:val="23"/>
                <w:szCs w:val="23"/>
                <w:lang w:eastAsia="zh-CN"/>
              </w:rPr>
            </w:pPr>
            <w:r w:rsidRPr="00AF181E">
              <w:rPr>
                <w:rFonts w:asciiTheme="minorHAnsi" w:hAnsiTheme="minorHAnsi"/>
                <w:bCs/>
                <w:sz w:val="23"/>
                <w:szCs w:val="23"/>
                <w:lang w:eastAsia="zh-CN"/>
              </w:rPr>
              <w:t xml:space="preserve">Contracted with NIEE </w:t>
            </w:r>
            <w:r w:rsidR="00F85680">
              <w:rPr>
                <w:rFonts w:asciiTheme="minorHAnsi" w:hAnsiTheme="minorHAnsi"/>
                <w:bCs/>
                <w:sz w:val="23"/>
                <w:szCs w:val="23"/>
                <w:lang w:eastAsia="zh-CN"/>
              </w:rPr>
              <w:t xml:space="preserve">PPB </w:t>
            </w:r>
            <w:r w:rsidRPr="00AF181E">
              <w:rPr>
                <w:rFonts w:asciiTheme="minorHAnsi" w:hAnsiTheme="minorHAnsi"/>
                <w:bCs/>
                <w:sz w:val="23"/>
                <w:szCs w:val="23"/>
                <w:lang w:eastAsia="zh-CN"/>
              </w:rPr>
              <w:t>until 2024 but can be cancelled earlier.</w:t>
            </w:r>
          </w:p>
        </w:tc>
        <w:tc>
          <w:tcPr>
            <w:tcW w:w="2126" w:type="dxa"/>
            <w:vMerge w:val="restart"/>
          </w:tcPr>
          <w:p w:rsidR="0040383E" w:rsidRPr="00AF181E" w:rsidRDefault="0040383E" w:rsidP="00FC357D">
            <w:pPr>
              <w:pStyle w:val="BodyText1"/>
              <w:ind w:left="0"/>
              <w:rPr>
                <w:rFonts w:asciiTheme="minorHAnsi" w:hAnsiTheme="minorHAnsi"/>
                <w:bCs/>
                <w:sz w:val="23"/>
                <w:szCs w:val="23"/>
                <w:lang w:eastAsia="zh-CN"/>
              </w:rPr>
            </w:pPr>
            <w:r w:rsidRPr="00AF181E">
              <w:rPr>
                <w:rFonts w:asciiTheme="minorHAnsi" w:hAnsiTheme="minorHAnsi"/>
                <w:bCs/>
                <w:sz w:val="23"/>
                <w:szCs w:val="23"/>
                <w:lang w:eastAsia="zh-CN"/>
              </w:rPr>
              <w:t>Peak</w:t>
            </w:r>
          </w:p>
        </w:tc>
      </w:tr>
      <w:tr w:rsidR="0040383E" w:rsidRPr="00AF181E" w:rsidTr="0040383E">
        <w:tc>
          <w:tcPr>
            <w:tcW w:w="2268" w:type="dxa"/>
          </w:tcPr>
          <w:p w:rsidR="0040383E" w:rsidRPr="00AF181E" w:rsidRDefault="0040383E" w:rsidP="008A68ED">
            <w:pPr>
              <w:pStyle w:val="BodyText1"/>
              <w:ind w:left="0"/>
              <w:rPr>
                <w:rFonts w:asciiTheme="minorHAnsi" w:hAnsiTheme="minorHAnsi"/>
                <w:bCs/>
                <w:sz w:val="23"/>
                <w:szCs w:val="23"/>
                <w:lang w:eastAsia="zh-CN"/>
              </w:rPr>
            </w:pPr>
            <w:r w:rsidRPr="00AF181E">
              <w:rPr>
                <w:rFonts w:asciiTheme="minorHAnsi" w:hAnsiTheme="minorHAnsi"/>
                <w:bCs/>
                <w:sz w:val="23"/>
                <w:szCs w:val="23"/>
                <w:lang w:eastAsia="zh-CN"/>
              </w:rPr>
              <w:t>Kilroot GT 2</w:t>
            </w:r>
          </w:p>
        </w:tc>
        <w:tc>
          <w:tcPr>
            <w:tcW w:w="1134" w:type="dxa"/>
          </w:tcPr>
          <w:p w:rsidR="0040383E" w:rsidRPr="00AF181E" w:rsidRDefault="0040383E" w:rsidP="00FC357D">
            <w:pPr>
              <w:pStyle w:val="BodyText1"/>
              <w:ind w:left="0"/>
              <w:jc w:val="center"/>
              <w:rPr>
                <w:rFonts w:asciiTheme="minorHAnsi" w:hAnsiTheme="minorHAnsi"/>
                <w:bCs/>
                <w:sz w:val="23"/>
                <w:szCs w:val="23"/>
                <w:lang w:eastAsia="zh-CN"/>
              </w:rPr>
            </w:pPr>
            <w:r w:rsidRPr="00AF181E">
              <w:rPr>
                <w:rFonts w:asciiTheme="minorHAnsi" w:hAnsiTheme="minorHAnsi"/>
                <w:bCs/>
                <w:sz w:val="23"/>
                <w:szCs w:val="23"/>
                <w:lang w:eastAsia="zh-CN"/>
              </w:rPr>
              <w:t>29</w:t>
            </w:r>
          </w:p>
        </w:tc>
        <w:tc>
          <w:tcPr>
            <w:tcW w:w="1134" w:type="dxa"/>
            <w:vMerge/>
          </w:tcPr>
          <w:p w:rsidR="0040383E" w:rsidRPr="00AF181E" w:rsidRDefault="0040383E" w:rsidP="00FC357D">
            <w:pPr>
              <w:pStyle w:val="BodyText1"/>
              <w:ind w:left="0"/>
              <w:rPr>
                <w:rFonts w:asciiTheme="minorHAnsi" w:hAnsiTheme="minorHAnsi"/>
                <w:bCs/>
                <w:sz w:val="23"/>
                <w:szCs w:val="23"/>
                <w:lang w:eastAsia="zh-CN"/>
              </w:rPr>
            </w:pPr>
          </w:p>
        </w:tc>
        <w:tc>
          <w:tcPr>
            <w:tcW w:w="2694" w:type="dxa"/>
            <w:vMerge/>
          </w:tcPr>
          <w:p w:rsidR="0040383E" w:rsidRPr="00AF181E" w:rsidRDefault="0040383E" w:rsidP="00FC357D">
            <w:pPr>
              <w:pStyle w:val="BodyText1"/>
              <w:ind w:left="0"/>
              <w:rPr>
                <w:rFonts w:asciiTheme="minorHAnsi" w:hAnsiTheme="minorHAnsi"/>
                <w:bCs/>
                <w:sz w:val="23"/>
                <w:szCs w:val="23"/>
                <w:lang w:eastAsia="zh-CN"/>
              </w:rPr>
            </w:pPr>
          </w:p>
        </w:tc>
        <w:tc>
          <w:tcPr>
            <w:tcW w:w="2126" w:type="dxa"/>
            <w:vMerge/>
          </w:tcPr>
          <w:p w:rsidR="0040383E" w:rsidRPr="00AF181E" w:rsidRDefault="0040383E" w:rsidP="00FC357D">
            <w:pPr>
              <w:pStyle w:val="BodyText1"/>
              <w:ind w:left="0"/>
              <w:rPr>
                <w:rFonts w:asciiTheme="minorHAnsi" w:hAnsiTheme="minorHAnsi"/>
                <w:bCs/>
                <w:sz w:val="23"/>
                <w:szCs w:val="23"/>
                <w:lang w:eastAsia="zh-CN"/>
              </w:rPr>
            </w:pPr>
          </w:p>
        </w:tc>
      </w:tr>
      <w:tr w:rsidR="0040383E" w:rsidRPr="00AF181E" w:rsidTr="0040383E">
        <w:tc>
          <w:tcPr>
            <w:tcW w:w="2268" w:type="dxa"/>
          </w:tcPr>
          <w:p w:rsidR="0040383E" w:rsidRPr="00AF181E" w:rsidRDefault="0040383E" w:rsidP="008A68ED">
            <w:pPr>
              <w:pStyle w:val="BodyText1"/>
              <w:ind w:left="0"/>
              <w:rPr>
                <w:rFonts w:asciiTheme="minorHAnsi" w:hAnsiTheme="minorHAnsi"/>
                <w:bCs/>
                <w:sz w:val="23"/>
                <w:szCs w:val="23"/>
                <w:lang w:eastAsia="zh-CN"/>
              </w:rPr>
            </w:pPr>
            <w:r w:rsidRPr="00AF181E">
              <w:rPr>
                <w:rFonts w:asciiTheme="minorHAnsi" w:hAnsiTheme="minorHAnsi"/>
                <w:bCs/>
                <w:sz w:val="23"/>
                <w:szCs w:val="23"/>
                <w:lang w:eastAsia="zh-CN"/>
              </w:rPr>
              <w:t>Kilroot GT 3</w:t>
            </w:r>
          </w:p>
        </w:tc>
        <w:tc>
          <w:tcPr>
            <w:tcW w:w="1134" w:type="dxa"/>
          </w:tcPr>
          <w:p w:rsidR="0040383E" w:rsidRPr="00AF181E" w:rsidRDefault="0040383E" w:rsidP="00FC357D">
            <w:pPr>
              <w:pStyle w:val="BodyText1"/>
              <w:ind w:left="0"/>
              <w:jc w:val="center"/>
              <w:rPr>
                <w:rFonts w:asciiTheme="minorHAnsi" w:hAnsiTheme="minorHAnsi"/>
                <w:bCs/>
                <w:sz w:val="23"/>
                <w:szCs w:val="23"/>
                <w:lang w:eastAsia="zh-CN"/>
              </w:rPr>
            </w:pPr>
            <w:r w:rsidRPr="00AF181E">
              <w:rPr>
                <w:rFonts w:asciiTheme="minorHAnsi" w:hAnsiTheme="minorHAnsi"/>
                <w:bCs/>
                <w:sz w:val="23"/>
                <w:szCs w:val="23"/>
                <w:lang w:eastAsia="zh-CN"/>
              </w:rPr>
              <w:t>42</w:t>
            </w:r>
          </w:p>
        </w:tc>
        <w:tc>
          <w:tcPr>
            <w:tcW w:w="1134" w:type="dxa"/>
            <w:vMerge w:val="restart"/>
          </w:tcPr>
          <w:p w:rsidR="0040383E" w:rsidRPr="00AF181E" w:rsidRDefault="0040383E" w:rsidP="00FC357D">
            <w:pPr>
              <w:pStyle w:val="BodyText1"/>
              <w:ind w:left="0"/>
              <w:rPr>
                <w:rFonts w:asciiTheme="minorHAnsi" w:hAnsiTheme="minorHAnsi"/>
                <w:bCs/>
                <w:sz w:val="23"/>
                <w:szCs w:val="23"/>
                <w:lang w:eastAsia="zh-CN"/>
              </w:rPr>
            </w:pPr>
            <w:r w:rsidRPr="00AF181E">
              <w:rPr>
                <w:rFonts w:asciiTheme="minorHAnsi" w:hAnsiTheme="minorHAnsi"/>
                <w:bCs/>
                <w:sz w:val="23"/>
                <w:szCs w:val="23"/>
                <w:lang w:eastAsia="zh-CN"/>
              </w:rPr>
              <w:t>Distillate</w:t>
            </w:r>
          </w:p>
        </w:tc>
        <w:tc>
          <w:tcPr>
            <w:tcW w:w="2694" w:type="dxa"/>
            <w:vMerge w:val="restart"/>
          </w:tcPr>
          <w:p w:rsidR="0040383E" w:rsidRPr="00AF181E" w:rsidRDefault="0040383E" w:rsidP="00FC357D">
            <w:pPr>
              <w:pStyle w:val="BodyText1"/>
              <w:ind w:left="0"/>
              <w:rPr>
                <w:rFonts w:asciiTheme="minorHAnsi" w:hAnsiTheme="minorHAnsi"/>
                <w:bCs/>
                <w:sz w:val="23"/>
                <w:szCs w:val="23"/>
                <w:lang w:eastAsia="zh-CN"/>
              </w:rPr>
            </w:pPr>
            <w:r w:rsidRPr="00AF181E">
              <w:rPr>
                <w:rFonts w:asciiTheme="minorHAnsi" w:hAnsiTheme="minorHAnsi"/>
                <w:bCs/>
                <w:sz w:val="23"/>
                <w:szCs w:val="23"/>
                <w:lang w:eastAsia="zh-CN"/>
              </w:rPr>
              <w:t>Uncontracted</w:t>
            </w:r>
          </w:p>
          <w:p w:rsidR="0040383E" w:rsidRPr="00AF181E" w:rsidRDefault="0040383E" w:rsidP="00FC357D">
            <w:pPr>
              <w:pStyle w:val="BodyText1"/>
              <w:ind w:left="0"/>
              <w:rPr>
                <w:rFonts w:asciiTheme="minorHAnsi" w:hAnsiTheme="minorHAnsi"/>
                <w:bCs/>
                <w:sz w:val="23"/>
                <w:szCs w:val="23"/>
                <w:lang w:eastAsia="zh-CN"/>
              </w:rPr>
            </w:pPr>
          </w:p>
        </w:tc>
        <w:tc>
          <w:tcPr>
            <w:tcW w:w="2126" w:type="dxa"/>
            <w:vMerge w:val="restart"/>
          </w:tcPr>
          <w:p w:rsidR="0040383E" w:rsidRPr="00AF181E" w:rsidRDefault="0040383E" w:rsidP="00FC357D">
            <w:pPr>
              <w:pStyle w:val="BodyText1"/>
              <w:ind w:left="0"/>
              <w:rPr>
                <w:rFonts w:asciiTheme="minorHAnsi" w:hAnsiTheme="minorHAnsi"/>
                <w:bCs/>
                <w:sz w:val="23"/>
                <w:szCs w:val="23"/>
                <w:lang w:eastAsia="zh-CN"/>
              </w:rPr>
            </w:pPr>
            <w:r w:rsidRPr="00AF181E">
              <w:rPr>
                <w:rFonts w:asciiTheme="minorHAnsi" w:hAnsiTheme="minorHAnsi"/>
                <w:bCs/>
                <w:sz w:val="23"/>
                <w:szCs w:val="23"/>
                <w:lang w:eastAsia="zh-CN"/>
              </w:rPr>
              <w:t>Peak</w:t>
            </w:r>
          </w:p>
        </w:tc>
      </w:tr>
      <w:tr w:rsidR="0040383E" w:rsidRPr="00AF181E" w:rsidTr="0040383E">
        <w:tc>
          <w:tcPr>
            <w:tcW w:w="2268" w:type="dxa"/>
          </w:tcPr>
          <w:p w:rsidR="0040383E" w:rsidRPr="00AF181E" w:rsidRDefault="0040383E" w:rsidP="008A68ED">
            <w:pPr>
              <w:pStyle w:val="BodyText1"/>
              <w:ind w:left="0"/>
              <w:rPr>
                <w:rFonts w:asciiTheme="minorHAnsi" w:hAnsiTheme="minorHAnsi"/>
                <w:bCs/>
                <w:sz w:val="23"/>
                <w:szCs w:val="23"/>
                <w:lang w:eastAsia="zh-CN"/>
              </w:rPr>
            </w:pPr>
            <w:r w:rsidRPr="00AF181E">
              <w:rPr>
                <w:rFonts w:asciiTheme="minorHAnsi" w:hAnsiTheme="minorHAnsi"/>
                <w:bCs/>
                <w:sz w:val="23"/>
                <w:szCs w:val="23"/>
                <w:lang w:eastAsia="zh-CN"/>
              </w:rPr>
              <w:t>Kilroot GT 4</w:t>
            </w:r>
          </w:p>
        </w:tc>
        <w:tc>
          <w:tcPr>
            <w:tcW w:w="1134" w:type="dxa"/>
          </w:tcPr>
          <w:p w:rsidR="0040383E" w:rsidRPr="00AF181E" w:rsidRDefault="0040383E" w:rsidP="00FC357D">
            <w:pPr>
              <w:pStyle w:val="BodyText1"/>
              <w:ind w:left="0"/>
              <w:jc w:val="center"/>
              <w:rPr>
                <w:rFonts w:asciiTheme="minorHAnsi" w:hAnsiTheme="minorHAnsi"/>
                <w:bCs/>
                <w:sz w:val="23"/>
                <w:szCs w:val="23"/>
                <w:lang w:eastAsia="zh-CN"/>
              </w:rPr>
            </w:pPr>
            <w:r w:rsidRPr="00AF181E">
              <w:rPr>
                <w:rFonts w:asciiTheme="minorHAnsi" w:hAnsiTheme="minorHAnsi"/>
                <w:bCs/>
                <w:sz w:val="23"/>
                <w:szCs w:val="23"/>
                <w:lang w:eastAsia="zh-CN"/>
              </w:rPr>
              <w:t>42</w:t>
            </w:r>
          </w:p>
        </w:tc>
        <w:tc>
          <w:tcPr>
            <w:tcW w:w="1134" w:type="dxa"/>
            <w:vMerge/>
          </w:tcPr>
          <w:p w:rsidR="0040383E" w:rsidRPr="00AF181E" w:rsidRDefault="0040383E" w:rsidP="00FC357D">
            <w:pPr>
              <w:pStyle w:val="BodyText1"/>
              <w:ind w:left="0"/>
              <w:rPr>
                <w:rFonts w:asciiTheme="minorHAnsi" w:hAnsiTheme="minorHAnsi"/>
                <w:bCs/>
                <w:sz w:val="23"/>
                <w:szCs w:val="23"/>
                <w:lang w:eastAsia="zh-CN"/>
              </w:rPr>
            </w:pPr>
          </w:p>
        </w:tc>
        <w:tc>
          <w:tcPr>
            <w:tcW w:w="2694" w:type="dxa"/>
            <w:vMerge/>
          </w:tcPr>
          <w:p w:rsidR="0040383E" w:rsidRPr="00AF181E" w:rsidRDefault="0040383E" w:rsidP="00FC357D">
            <w:pPr>
              <w:pStyle w:val="BodyText1"/>
              <w:ind w:left="0"/>
              <w:rPr>
                <w:rFonts w:asciiTheme="minorHAnsi" w:hAnsiTheme="minorHAnsi"/>
                <w:bCs/>
                <w:sz w:val="23"/>
                <w:szCs w:val="23"/>
                <w:lang w:eastAsia="zh-CN"/>
              </w:rPr>
            </w:pPr>
          </w:p>
        </w:tc>
        <w:tc>
          <w:tcPr>
            <w:tcW w:w="2126" w:type="dxa"/>
            <w:vMerge/>
          </w:tcPr>
          <w:p w:rsidR="0040383E" w:rsidRPr="00AF181E" w:rsidRDefault="0040383E" w:rsidP="00FC357D">
            <w:pPr>
              <w:pStyle w:val="BodyText1"/>
              <w:ind w:left="0"/>
              <w:rPr>
                <w:rFonts w:asciiTheme="minorHAnsi" w:hAnsiTheme="minorHAnsi"/>
                <w:bCs/>
                <w:sz w:val="23"/>
                <w:szCs w:val="23"/>
                <w:lang w:eastAsia="zh-CN"/>
              </w:rPr>
            </w:pPr>
          </w:p>
        </w:tc>
      </w:tr>
      <w:tr w:rsidR="008A68ED" w:rsidRPr="00AF181E" w:rsidTr="0040383E">
        <w:tc>
          <w:tcPr>
            <w:tcW w:w="2268" w:type="dxa"/>
          </w:tcPr>
          <w:p w:rsidR="008A68ED" w:rsidRPr="00AF181E" w:rsidRDefault="008A68ED" w:rsidP="00FC357D">
            <w:pPr>
              <w:pStyle w:val="BodyText1"/>
              <w:ind w:left="0"/>
              <w:rPr>
                <w:rFonts w:asciiTheme="minorHAnsi" w:hAnsiTheme="minorHAnsi"/>
                <w:b/>
                <w:bCs/>
                <w:sz w:val="23"/>
                <w:szCs w:val="23"/>
                <w:lang w:eastAsia="zh-CN"/>
              </w:rPr>
            </w:pPr>
            <w:r w:rsidRPr="00AF181E">
              <w:rPr>
                <w:rFonts w:asciiTheme="minorHAnsi" w:hAnsiTheme="minorHAnsi"/>
                <w:b/>
                <w:bCs/>
                <w:sz w:val="23"/>
                <w:szCs w:val="23"/>
                <w:lang w:eastAsia="zh-CN"/>
              </w:rPr>
              <w:t>Total</w:t>
            </w:r>
          </w:p>
        </w:tc>
        <w:tc>
          <w:tcPr>
            <w:tcW w:w="1134" w:type="dxa"/>
          </w:tcPr>
          <w:p w:rsidR="008A68ED" w:rsidRPr="00AF181E" w:rsidRDefault="008A68ED" w:rsidP="00FC357D">
            <w:pPr>
              <w:pStyle w:val="BodyText1"/>
              <w:ind w:left="0"/>
              <w:jc w:val="center"/>
              <w:rPr>
                <w:rFonts w:asciiTheme="minorHAnsi" w:hAnsiTheme="minorHAnsi"/>
                <w:b/>
                <w:bCs/>
                <w:sz w:val="23"/>
                <w:szCs w:val="23"/>
                <w:lang w:eastAsia="zh-CN"/>
              </w:rPr>
            </w:pPr>
            <w:r w:rsidRPr="00AF181E">
              <w:rPr>
                <w:rFonts w:asciiTheme="minorHAnsi" w:hAnsiTheme="minorHAnsi"/>
                <w:b/>
                <w:bCs/>
                <w:sz w:val="23"/>
                <w:szCs w:val="23"/>
                <w:lang w:eastAsia="zh-CN"/>
              </w:rPr>
              <w:t>1831</w:t>
            </w:r>
          </w:p>
        </w:tc>
        <w:tc>
          <w:tcPr>
            <w:tcW w:w="1134" w:type="dxa"/>
          </w:tcPr>
          <w:p w:rsidR="008A68ED" w:rsidRPr="00AF181E" w:rsidRDefault="008A68ED" w:rsidP="00FC357D">
            <w:pPr>
              <w:pStyle w:val="BodyText1"/>
              <w:ind w:left="0"/>
              <w:rPr>
                <w:rFonts w:asciiTheme="minorHAnsi" w:hAnsiTheme="minorHAnsi"/>
                <w:bCs/>
                <w:sz w:val="23"/>
                <w:szCs w:val="23"/>
                <w:lang w:eastAsia="zh-CN"/>
              </w:rPr>
            </w:pPr>
          </w:p>
        </w:tc>
        <w:tc>
          <w:tcPr>
            <w:tcW w:w="2694" w:type="dxa"/>
          </w:tcPr>
          <w:p w:rsidR="008A68ED" w:rsidRPr="00AF181E" w:rsidRDefault="008A68ED" w:rsidP="00FC357D">
            <w:pPr>
              <w:pStyle w:val="BodyText1"/>
              <w:ind w:left="0"/>
              <w:rPr>
                <w:rFonts w:asciiTheme="minorHAnsi" w:hAnsiTheme="minorHAnsi"/>
                <w:bCs/>
                <w:sz w:val="23"/>
                <w:szCs w:val="23"/>
                <w:lang w:eastAsia="zh-CN"/>
              </w:rPr>
            </w:pPr>
          </w:p>
        </w:tc>
        <w:tc>
          <w:tcPr>
            <w:tcW w:w="2126" w:type="dxa"/>
          </w:tcPr>
          <w:p w:rsidR="008A68ED" w:rsidRPr="00AF181E" w:rsidRDefault="008A68ED" w:rsidP="00FC357D">
            <w:pPr>
              <w:pStyle w:val="BodyText1"/>
              <w:ind w:left="0"/>
              <w:rPr>
                <w:rFonts w:asciiTheme="minorHAnsi" w:hAnsiTheme="minorHAnsi"/>
                <w:bCs/>
                <w:sz w:val="23"/>
                <w:szCs w:val="23"/>
                <w:lang w:eastAsia="zh-CN"/>
              </w:rPr>
            </w:pPr>
          </w:p>
        </w:tc>
      </w:tr>
    </w:tbl>
    <w:p w:rsidR="006B1BB7" w:rsidRPr="00AF181E" w:rsidRDefault="006B1BB7" w:rsidP="006B1BB7">
      <w:pPr>
        <w:pStyle w:val="BodyText1"/>
        <w:ind w:left="0"/>
        <w:rPr>
          <w:rFonts w:asciiTheme="minorHAnsi" w:hAnsiTheme="minorHAnsi"/>
          <w:bCs/>
          <w:sz w:val="23"/>
          <w:szCs w:val="23"/>
          <w:lang w:eastAsia="zh-CN"/>
        </w:rPr>
      </w:pPr>
    </w:p>
    <w:p w:rsidR="0040383E" w:rsidRPr="00AF181E" w:rsidRDefault="00B43783" w:rsidP="006B1BB7">
      <w:pPr>
        <w:pStyle w:val="BodyText1"/>
        <w:ind w:left="0"/>
        <w:rPr>
          <w:rFonts w:asciiTheme="minorHAnsi" w:hAnsiTheme="minorHAnsi"/>
          <w:bCs/>
          <w:sz w:val="23"/>
          <w:szCs w:val="23"/>
          <w:lang w:eastAsia="zh-CN"/>
        </w:rPr>
      </w:pPr>
      <w:r w:rsidRPr="00AF181E">
        <w:rPr>
          <w:rFonts w:asciiTheme="minorHAnsi" w:hAnsiTheme="minorHAnsi"/>
          <w:bCs/>
          <w:sz w:val="23"/>
          <w:szCs w:val="23"/>
          <w:lang w:eastAsia="zh-CN"/>
        </w:rPr>
        <w:t xml:space="preserve">The size and composition of the above portfolio is unlikely to incentivise any withholding of capacity due to the relatively small capacity that would benefit from an increase in SMP. </w:t>
      </w:r>
      <w:r w:rsidR="0040383E" w:rsidRPr="00AF181E">
        <w:rPr>
          <w:rFonts w:asciiTheme="minorHAnsi" w:hAnsiTheme="minorHAnsi"/>
          <w:bCs/>
          <w:sz w:val="23"/>
          <w:szCs w:val="23"/>
          <w:lang w:eastAsia="zh-CN"/>
        </w:rPr>
        <w:t xml:space="preserve">As can be seem from the table the only </w:t>
      </w:r>
      <w:r w:rsidRPr="00AF181E">
        <w:rPr>
          <w:rFonts w:asciiTheme="minorHAnsi" w:hAnsiTheme="minorHAnsi"/>
          <w:bCs/>
          <w:sz w:val="23"/>
          <w:szCs w:val="23"/>
          <w:lang w:eastAsia="zh-CN"/>
        </w:rPr>
        <w:t>p</w:t>
      </w:r>
      <w:r w:rsidR="000D6ABC" w:rsidRPr="00AF181E">
        <w:rPr>
          <w:rFonts w:asciiTheme="minorHAnsi" w:hAnsiTheme="minorHAnsi"/>
          <w:bCs/>
          <w:sz w:val="23"/>
          <w:szCs w:val="23"/>
          <w:lang w:eastAsia="zh-CN"/>
        </w:rPr>
        <w:t>otential</w:t>
      </w:r>
      <w:r w:rsidRPr="00AF181E">
        <w:rPr>
          <w:rFonts w:asciiTheme="minorHAnsi" w:hAnsiTheme="minorHAnsi"/>
          <w:bCs/>
          <w:sz w:val="23"/>
          <w:szCs w:val="23"/>
          <w:lang w:eastAsia="zh-CN"/>
        </w:rPr>
        <w:t xml:space="preserve"> </w:t>
      </w:r>
      <w:r w:rsidR="000D6ABC" w:rsidRPr="00AF181E">
        <w:rPr>
          <w:rFonts w:asciiTheme="minorHAnsi" w:hAnsiTheme="minorHAnsi"/>
          <w:bCs/>
          <w:sz w:val="23"/>
          <w:szCs w:val="23"/>
          <w:lang w:eastAsia="zh-CN"/>
        </w:rPr>
        <w:t>mid</w:t>
      </w:r>
      <w:r w:rsidR="000D50C1">
        <w:rPr>
          <w:rFonts w:asciiTheme="minorHAnsi" w:hAnsiTheme="minorHAnsi"/>
          <w:bCs/>
          <w:sz w:val="23"/>
          <w:szCs w:val="23"/>
          <w:lang w:eastAsia="zh-CN"/>
        </w:rPr>
        <w:t>-</w:t>
      </w:r>
      <w:r w:rsidR="000D6ABC" w:rsidRPr="00AF181E">
        <w:rPr>
          <w:rFonts w:asciiTheme="minorHAnsi" w:hAnsiTheme="minorHAnsi"/>
          <w:bCs/>
          <w:sz w:val="23"/>
          <w:szCs w:val="23"/>
          <w:lang w:eastAsia="zh-CN"/>
        </w:rPr>
        <w:t xml:space="preserve">merit </w:t>
      </w:r>
      <w:r w:rsidR="0040383E" w:rsidRPr="00AF181E">
        <w:rPr>
          <w:rFonts w:asciiTheme="minorHAnsi" w:hAnsiTheme="minorHAnsi"/>
          <w:bCs/>
          <w:sz w:val="23"/>
          <w:szCs w:val="23"/>
          <w:lang w:eastAsia="zh-CN"/>
        </w:rPr>
        <w:t xml:space="preserve">units are the </w:t>
      </w:r>
      <w:r w:rsidR="00F85680" w:rsidRPr="00AF181E">
        <w:rPr>
          <w:rFonts w:asciiTheme="minorHAnsi" w:hAnsiTheme="minorHAnsi"/>
          <w:bCs/>
          <w:sz w:val="23"/>
          <w:szCs w:val="23"/>
          <w:lang w:eastAsia="zh-CN"/>
        </w:rPr>
        <w:t xml:space="preserve">Ballylumford </w:t>
      </w:r>
      <w:r w:rsidR="0040383E" w:rsidRPr="00AF181E">
        <w:rPr>
          <w:rFonts w:asciiTheme="minorHAnsi" w:hAnsiTheme="minorHAnsi"/>
          <w:bCs/>
          <w:sz w:val="23"/>
          <w:szCs w:val="23"/>
          <w:lang w:eastAsia="zh-CN"/>
        </w:rPr>
        <w:t xml:space="preserve">CCGT units (587 MW) </w:t>
      </w:r>
      <w:r w:rsidRPr="00AF181E">
        <w:rPr>
          <w:rFonts w:asciiTheme="minorHAnsi" w:hAnsiTheme="minorHAnsi"/>
          <w:bCs/>
          <w:sz w:val="23"/>
          <w:szCs w:val="23"/>
          <w:lang w:eastAsia="zh-CN"/>
        </w:rPr>
        <w:t xml:space="preserve">which are under contract to NIEE </w:t>
      </w:r>
      <w:r w:rsidR="00A926A2">
        <w:rPr>
          <w:rFonts w:asciiTheme="minorHAnsi" w:hAnsiTheme="minorHAnsi"/>
          <w:bCs/>
          <w:sz w:val="23"/>
          <w:szCs w:val="23"/>
          <w:lang w:eastAsia="zh-CN"/>
        </w:rPr>
        <w:t xml:space="preserve">PPB </w:t>
      </w:r>
      <w:r w:rsidRPr="00AF181E">
        <w:rPr>
          <w:rFonts w:asciiTheme="minorHAnsi" w:hAnsiTheme="minorHAnsi"/>
          <w:bCs/>
          <w:sz w:val="23"/>
          <w:szCs w:val="23"/>
          <w:lang w:eastAsia="zh-CN"/>
        </w:rPr>
        <w:t xml:space="preserve">until </w:t>
      </w:r>
      <w:r w:rsidR="000D6ABC" w:rsidRPr="00AF181E">
        <w:rPr>
          <w:rFonts w:asciiTheme="minorHAnsi" w:hAnsiTheme="minorHAnsi"/>
          <w:bCs/>
          <w:sz w:val="23"/>
          <w:szCs w:val="23"/>
          <w:lang w:eastAsia="zh-CN"/>
        </w:rPr>
        <w:t xml:space="preserve">at least </w:t>
      </w:r>
      <w:r w:rsidRPr="00AF181E">
        <w:rPr>
          <w:rFonts w:asciiTheme="minorHAnsi" w:hAnsiTheme="minorHAnsi"/>
          <w:bCs/>
          <w:sz w:val="23"/>
          <w:szCs w:val="23"/>
          <w:lang w:eastAsia="zh-CN"/>
        </w:rPr>
        <w:t xml:space="preserve">2018 and therefore AES would not benefit from any SMP increase. Ballylumford Unit 4 (peaker) is also under contract to NIEE </w:t>
      </w:r>
      <w:r w:rsidR="00A926A2">
        <w:rPr>
          <w:rFonts w:asciiTheme="minorHAnsi" w:hAnsiTheme="minorHAnsi"/>
          <w:bCs/>
          <w:sz w:val="23"/>
          <w:szCs w:val="23"/>
          <w:lang w:eastAsia="zh-CN"/>
        </w:rPr>
        <w:t xml:space="preserve">PPB </w:t>
      </w:r>
      <w:r w:rsidRPr="00AF181E">
        <w:rPr>
          <w:rFonts w:asciiTheme="minorHAnsi" w:hAnsiTheme="minorHAnsi"/>
          <w:bCs/>
          <w:sz w:val="23"/>
          <w:szCs w:val="23"/>
          <w:lang w:eastAsia="zh-CN"/>
        </w:rPr>
        <w:t>until 31 March 2012 so again AES would not benefit from any increase in SMP from that unit.</w:t>
      </w:r>
    </w:p>
    <w:p w:rsidR="00B43783" w:rsidRPr="00AF181E" w:rsidRDefault="00B43783" w:rsidP="006B1BB7">
      <w:pPr>
        <w:pStyle w:val="BodyText1"/>
        <w:ind w:left="0"/>
        <w:rPr>
          <w:rFonts w:asciiTheme="minorHAnsi" w:hAnsiTheme="minorHAnsi"/>
          <w:bCs/>
          <w:sz w:val="23"/>
          <w:szCs w:val="23"/>
          <w:lang w:eastAsia="zh-CN"/>
        </w:rPr>
      </w:pPr>
      <w:r w:rsidRPr="00AF181E">
        <w:rPr>
          <w:rFonts w:asciiTheme="minorHAnsi" w:hAnsiTheme="minorHAnsi"/>
          <w:bCs/>
          <w:sz w:val="23"/>
          <w:szCs w:val="23"/>
          <w:lang w:eastAsia="zh-CN"/>
        </w:rPr>
        <w:t>The Kilroot units are the</w:t>
      </w:r>
      <w:r w:rsidR="00F85680">
        <w:rPr>
          <w:rFonts w:asciiTheme="minorHAnsi" w:hAnsiTheme="minorHAnsi"/>
          <w:bCs/>
          <w:sz w:val="23"/>
          <w:szCs w:val="23"/>
          <w:lang w:eastAsia="zh-CN"/>
        </w:rPr>
        <w:t>refore effectively the</w:t>
      </w:r>
      <w:r w:rsidRPr="00AF181E">
        <w:rPr>
          <w:rFonts w:asciiTheme="minorHAnsi" w:hAnsiTheme="minorHAnsi"/>
          <w:bCs/>
          <w:sz w:val="23"/>
          <w:szCs w:val="23"/>
          <w:lang w:eastAsia="zh-CN"/>
        </w:rPr>
        <w:t xml:space="preserve"> only units that could potentially benefit from an increase in SMP</w:t>
      </w:r>
      <w:r w:rsidR="00CF3688" w:rsidRPr="00AF181E">
        <w:rPr>
          <w:rFonts w:asciiTheme="minorHAnsi" w:hAnsiTheme="minorHAnsi"/>
          <w:bCs/>
          <w:sz w:val="23"/>
          <w:szCs w:val="23"/>
          <w:lang w:eastAsia="zh-CN"/>
        </w:rPr>
        <w:t xml:space="preserve"> but</w:t>
      </w:r>
      <w:r w:rsidR="00F85680">
        <w:rPr>
          <w:rFonts w:asciiTheme="minorHAnsi" w:hAnsiTheme="minorHAnsi"/>
          <w:bCs/>
          <w:sz w:val="23"/>
          <w:szCs w:val="23"/>
          <w:lang w:eastAsia="zh-CN"/>
        </w:rPr>
        <w:t>,</w:t>
      </w:r>
      <w:r w:rsidR="00CF3688" w:rsidRPr="00AF181E">
        <w:rPr>
          <w:rFonts w:asciiTheme="minorHAnsi" w:hAnsiTheme="minorHAnsi"/>
          <w:bCs/>
          <w:sz w:val="23"/>
          <w:szCs w:val="23"/>
          <w:lang w:eastAsia="zh-CN"/>
        </w:rPr>
        <w:t xml:space="preserve"> </w:t>
      </w:r>
      <w:r w:rsidR="000D6ABC" w:rsidRPr="00AF181E">
        <w:rPr>
          <w:rFonts w:asciiTheme="minorHAnsi" w:hAnsiTheme="minorHAnsi"/>
          <w:bCs/>
          <w:sz w:val="23"/>
          <w:szCs w:val="23"/>
          <w:lang w:eastAsia="zh-CN"/>
        </w:rPr>
        <w:t xml:space="preserve">since the </w:t>
      </w:r>
      <w:r w:rsidR="000D50C1">
        <w:rPr>
          <w:rFonts w:asciiTheme="minorHAnsi" w:hAnsiTheme="minorHAnsi"/>
          <w:bCs/>
          <w:sz w:val="23"/>
          <w:szCs w:val="23"/>
          <w:lang w:eastAsia="zh-CN"/>
        </w:rPr>
        <w:t>independent</w:t>
      </w:r>
      <w:r w:rsidR="000D6ABC" w:rsidRPr="00AF181E">
        <w:rPr>
          <w:rFonts w:asciiTheme="minorHAnsi" w:hAnsiTheme="minorHAnsi"/>
          <w:bCs/>
          <w:sz w:val="23"/>
          <w:szCs w:val="23"/>
          <w:lang w:eastAsia="zh-CN"/>
        </w:rPr>
        <w:t xml:space="preserve"> analysis indicates that these are also peaking units</w:t>
      </w:r>
      <w:r w:rsidR="00F85680">
        <w:rPr>
          <w:rFonts w:asciiTheme="minorHAnsi" w:hAnsiTheme="minorHAnsi"/>
          <w:bCs/>
          <w:sz w:val="23"/>
          <w:szCs w:val="23"/>
          <w:lang w:eastAsia="zh-CN"/>
        </w:rPr>
        <w:t>,</w:t>
      </w:r>
      <w:r w:rsidR="000D6ABC" w:rsidRPr="00AF181E">
        <w:rPr>
          <w:rFonts w:asciiTheme="minorHAnsi" w:hAnsiTheme="minorHAnsi"/>
          <w:bCs/>
          <w:sz w:val="23"/>
          <w:szCs w:val="23"/>
          <w:lang w:eastAsia="zh-CN"/>
        </w:rPr>
        <w:t xml:space="preserve"> </w:t>
      </w:r>
      <w:r w:rsidR="00CF3688" w:rsidRPr="00AF181E">
        <w:rPr>
          <w:rFonts w:asciiTheme="minorHAnsi" w:hAnsiTheme="minorHAnsi"/>
          <w:bCs/>
          <w:sz w:val="23"/>
          <w:szCs w:val="23"/>
          <w:lang w:eastAsia="zh-CN"/>
        </w:rPr>
        <w:t xml:space="preserve">this would require the withdrawal of some of the Ballylumford CCGT units which are ahead of Kilroot in </w:t>
      </w:r>
      <w:r w:rsidR="00CF3688" w:rsidRPr="00AF181E">
        <w:rPr>
          <w:rFonts w:asciiTheme="minorHAnsi" w:hAnsiTheme="minorHAnsi"/>
          <w:bCs/>
          <w:sz w:val="23"/>
          <w:szCs w:val="23"/>
          <w:lang w:eastAsia="zh-CN"/>
        </w:rPr>
        <w:lastRenderedPageBreak/>
        <w:t>the merit order</w:t>
      </w:r>
      <w:r w:rsidR="000D50C1">
        <w:rPr>
          <w:rFonts w:asciiTheme="minorHAnsi" w:hAnsiTheme="minorHAnsi"/>
          <w:bCs/>
          <w:sz w:val="23"/>
          <w:szCs w:val="23"/>
          <w:lang w:eastAsia="zh-CN"/>
        </w:rPr>
        <w:t>. T</w:t>
      </w:r>
      <w:r w:rsidR="00CF3688" w:rsidRPr="00AF181E">
        <w:rPr>
          <w:rFonts w:asciiTheme="minorHAnsi" w:hAnsiTheme="minorHAnsi"/>
          <w:bCs/>
          <w:sz w:val="23"/>
          <w:szCs w:val="23"/>
          <w:lang w:eastAsia="zh-CN"/>
        </w:rPr>
        <w:t xml:space="preserve">he loss of availability payments is </w:t>
      </w:r>
      <w:r w:rsidR="000D50C1">
        <w:rPr>
          <w:rFonts w:asciiTheme="minorHAnsi" w:hAnsiTheme="minorHAnsi"/>
          <w:bCs/>
          <w:sz w:val="23"/>
          <w:szCs w:val="23"/>
          <w:lang w:eastAsia="zh-CN"/>
        </w:rPr>
        <w:t xml:space="preserve">however </w:t>
      </w:r>
      <w:r w:rsidR="00CF3688" w:rsidRPr="00AF181E">
        <w:rPr>
          <w:rFonts w:asciiTheme="minorHAnsi" w:hAnsiTheme="minorHAnsi"/>
          <w:bCs/>
          <w:sz w:val="23"/>
          <w:szCs w:val="23"/>
          <w:lang w:eastAsia="zh-CN"/>
        </w:rPr>
        <w:t>more than likely to outweigh any energy payment increases.</w:t>
      </w:r>
    </w:p>
    <w:p w:rsidR="00CF3688" w:rsidRPr="00AF181E" w:rsidRDefault="00CF3688" w:rsidP="006B1BB7">
      <w:pPr>
        <w:pStyle w:val="BodyText1"/>
        <w:ind w:left="0"/>
        <w:rPr>
          <w:rFonts w:asciiTheme="minorHAnsi" w:hAnsiTheme="minorHAnsi"/>
          <w:bCs/>
          <w:sz w:val="23"/>
          <w:szCs w:val="23"/>
          <w:lang w:eastAsia="zh-CN"/>
        </w:rPr>
      </w:pPr>
      <w:r w:rsidRPr="00AF181E">
        <w:rPr>
          <w:rFonts w:asciiTheme="minorHAnsi" w:hAnsiTheme="minorHAnsi"/>
          <w:bCs/>
          <w:sz w:val="23"/>
          <w:szCs w:val="23"/>
          <w:lang w:eastAsia="zh-CN"/>
        </w:rPr>
        <w:t>The table below sets out the implications of withholding the various AES units.</w:t>
      </w:r>
    </w:p>
    <w:tbl>
      <w:tblPr>
        <w:tblW w:w="473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3"/>
      </w:tblPr>
      <w:tblGrid>
        <w:gridCol w:w="3214"/>
        <w:gridCol w:w="5845"/>
      </w:tblGrid>
      <w:tr w:rsidR="00CF3688" w:rsidRPr="00AF181E" w:rsidTr="00FC357D">
        <w:tc>
          <w:tcPr>
            <w:tcW w:w="1774" w:type="pct"/>
            <w:tcMar>
              <w:left w:w="108" w:type="dxa"/>
              <w:right w:w="108" w:type="dxa"/>
            </w:tcMar>
          </w:tcPr>
          <w:p w:rsidR="00CF3688" w:rsidRPr="00AF181E" w:rsidRDefault="00CF3688" w:rsidP="00F85680">
            <w:pPr>
              <w:pStyle w:val="Tablecolumnheading"/>
              <w:jc w:val="left"/>
              <w:rPr>
                <w:rFonts w:asciiTheme="minorHAnsi" w:hAnsiTheme="minorHAnsi"/>
                <w:color w:val="auto"/>
                <w:sz w:val="23"/>
                <w:szCs w:val="23"/>
              </w:rPr>
            </w:pPr>
            <w:r w:rsidRPr="00AF181E">
              <w:rPr>
                <w:rFonts w:asciiTheme="minorHAnsi" w:hAnsiTheme="minorHAnsi"/>
                <w:color w:val="auto"/>
                <w:sz w:val="23"/>
                <w:szCs w:val="23"/>
              </w:rPr>
              <w:t xml:space="preserve">Withdrawal </w:t>
            </w:r>
            <w:r w:rsidR="00F85680">
              <w:rPr>
                <w:rFonts w:asciiTheme="minorHAnsi" w:hAnsiTheme="minorHAnsi"/>
                <w:color w:val="auto"/>
                <w:sz w:val="23"/>
                <w:szCs w:val="23"/>
              </w:rPr>
              <w:t>O</w:t>
            </w:r>
            <w:r w:rsidRPr="00AF181E">
              <w:rPr>
                <w:rFonts w:asciiTheme="minorHAnsi" w:hAnsiTheme="minorHAnsi"/>
                <w:color w:val="auto"/>
                <w:sz w:val="23"/>
                <w:szCs w:val="23"/>
              </w:rPr>
              <w:t>ption</w:t>
            </w:r>
          </w:p>
        </w:tc>
        <w:tc>
          <w:tcPr>
            <w:tcW w:w="3226" w:type="pct"/>
            <w:tcMar>
              <w:left w:w="108" w:type="dxa"/>
              <w:right w:w="108" w:type="dxa"/>
            </w:tcMar>
          </w:tcPr>
          <w:p w:rsidR="00CF3688" w:rsidRPr="00AF181E" w:rsidRDefault="00CF3688" w:rsidP="00FC357D">
            <w:pPr>
              <w:pStyle w:val="Tablecolumnheading"/>
              <w:jc w:val="left"/>
              <w:rPr>
                <w:rFonts w:asciiTheme="minorHAnsi" w:hAnsiTheme="minorHAnsi"/>
                <w:color w:val="auto"/>
                <w:sz w:val="23"/>
                <w:szCs w:val="23"/>
              </w:rPr>
            </w:pPr>
            <w:r w:rsidRPr="00AF181E">
              <w:rPr>
                <w:rFonts w:asciiTheme="minorHAnsi" w:hAnsiTheme="minorHAnsi"/>
                <w:color w:val="auto"/>
                <w:sz w:val="23"/>
                <w:szCs w:val="23"/>
              </w:rPr>
              <w:t>Assessment</w:t>
            </w:r>
          </w:p>
        </w:tc>
      </w:tr>
      <w:tr w:rsidR="00CF3688" w:rsidRPr="00AF181E" w:rsidTr="00FC357D">
        <w:tc>
          <w:tcPr>
            <w:tcW w:w="1774" w:type="pct"/>
            <w:tcMar>
              <w:left w:w="108" w:type="dxa"/>
              <w:right w:w="108" w:type="dxa"/>
            </w:tcMar>
          </w:tcPr>
          <w:p w:rsidR="00CF3688" w:rsidRPr="00AF181E" w:rsidRDefault="00CF3688" w:rsidP="00A926A2">
            <w:pPr>
              <w:pStyle w:val="Tabletext"/>
              <w:rPr>
                <w:rFonts w:asciiTheme="minorHAnsi" w:hAnsiTheme="minorHAnsi"/>
                <w:sz w:val="23"/>
                <w:szCs w:val="23"/>
              </w:rPr>
            </w:pPr>
            <w:r w:rsidRPr="00AF181E">
              <w:rPr>
                <w:rFonts w:asciiTheme="minorHAnsi" w:hAnsiTheme="minorHAnsi"/>
                <w:sz w:val="23"/>
                <w:szCs w:val="23"/>
              </w:rPr>
              <w:t xml:space="preserve">Withdraw one, two or three </w:t>
            </w:r>
            <w:r w:rsidR="00A926A2">
              <w:rPr>
                <w:rFonts w:asciiTheme="minorHAnsi" w:hAnsiTheme="minorHAnsi"/>
                <w:sz w:val="23"/>
                <w:szCs w:val="23"/>
              </w:rPr>
              <w:t>of the Ballylumford CCGT</w:t>
            </w:r>
            <w:r w:rsidRPr="00AF181E">
              <w:rPr>
                <w:rFonts w:asciiTheme="minorHAnsi" w:hAnsiTheme="minorHAnsi"/>
                <w:sz w:val="23"/>
                <w:szCs w:val="23"/>
              </w:rPr>
              <w:t xml:space="preserve"> units</w:t>
            </w:r>
          </w:p>
        </w:tc>
        <w:tc>
          <w:tcPr>
            <w:tcW w:w="3226" w:type="pct"/>
            <w:tcMar>
              <w:left w:w="108" w:type="dxa"/>
              <w:right w:w="108" w:type="dxa"/>
            </w:tcMar>
          </w:tcPr>
          <w:p w:rsidR="00CF3688" w:rsidRPr="00AF181E" w:rsidRDefault="00CF3688" w:rsidP="00FC357D">
            <w:pPr>
              <w:pStyle w:val="Tabletext"/>
              <w:tabs>
                <w:tab w:val="decimal" w:pos="0"/>
              </w:tabs>
              <w:rPr>
                <w:rFonts w:asciiTheme="minorHAnsi" w:hAnsiTheme="minorHAnsi"/>
                <w:sz w:val="23"/>
                <w:szCs w:val="23"/>
              </w:rPr>
            </w:pPr>
            <w:r w:rsidRPr="00AF181E">
              <w:rPr>
                <w:rFonts w:asciiTheme="minorHAnsi" w:hAnsiTheme="minorHAnsi"/>
                <w:sz w:val="23"/>
                <w:szCs w:val="23"/>
              </w:rPr>
              <w:t>Deterred through size of foregone availability payments</w:t>
            </w:r>
          </w:p>
        </w:tc>
      </w:tr>
      <w:tr w:rsidR="00CF3688" w:rsidRPr="00AF181E" w:rsidTr="00FC357D">
        <w:tc>
          <w:tcPr>
            <w:tcW w:w="1774" w:type="pct"/>
            <w:tcMar>
              <w:left w:w="108" w:type="dxa"/>
              <w:right w:w="108" w:type="dxa"/>
            </w:tcMar>
          </w:tcPr>
          <w:p w:rsidR="00CF3688" w:rsidRPr="00AF181E" w:rsidRDefault="00CF3688" w:rsidP="00A926A2">
            <w:pPr>
              <w:pStyle w:val="Tabletext"/>
              <w:rPr>
                <w:rFonts w:asciiTheme="minorHAnsi" w:hAnsiTheme="minorHAnsi"/>
                <w:sz w:val="23"/>
                <w:szCs w:val="23"/>
              </w:rPr>
            </w:pPr>
            <w:r w:rsidRPr="00AF181E">
              <w:rPr>
                <w:rFonts w:asciiTheme="minorHAnsi" w:hAnsiTheme="minorHAnsi"/>
                <w:sz w:val="23"/>
                <w:szCs w:val="23"/>
              </w:rPr>
              <w:t xml:space="preserve">Withdraw one or two </w:t>
            </w:r>
            <w:r w:rsidR="00A926A2">
              <w:rPr>
                <w:rFonts w:asciiTheme="minorHAnsi" w:hAnsiTheme="minorHAnsi"/>
                <w:sz w:val="23"/>
                <w:szCs w:val="23"/>
              </w:rPr>
              <w:t xml:space="preserve">of the </w:t>
            </w:r>
            <w:r w:rsidRPr="00AF181E">
              <w:rPr>
                <w:rFonts w:asciiTheme="minorHAnsi" w:hAnsiTheme="minorHAnsi"/>
                <w:sz w:val="23"/>
                <w:szCs w:val="23"/>
              </w:rPr>
              <w:t>B</w:t>
            </w:r>
            <w:r w:rsidR="00A926A2">
              <w:rPr>
                <w:rFonts w:asciiTheme="minorHAnsi" w:hAnsiTheme="minorHAnsi"/>
                <w:sz w:val="23"/>
                <w:szCs w:val="23"/>
              </w:rPr>
              <w:t>allylumford thermal</w:t>
            </w:r>
            <w:r w:rsidRPr="00AF181E">
              <w:rPr>
                <w:rFonts w:asciiTheme="minorHAnsi" w:hAnsiTheme="minorHAnsi"/>
                <w:sz w:val="23"/>
                <w:szCs w:val="23"/>
              </w:rPr>
              <w:t xml:space="preserve"> units</w:t>
            </w:r>
          </w:p>
        </w:tc>
        <w:tc>
          <w:tcPr>
            <w:tcW w:w="3226" w:type="pct"/>
            <w:tcMar>
              <w:left w:w="108" w:type="dxa"/>
              <w:right w:w="108" w:type="dxa"/>
            </w:tcMar>
          </w:tcPr>
          <w:p w:rsidR="00CF3688" w:rsidRPr="00AF181E" w:rsidRDefault="00CF3688" w:rsidP="00F85680">
            <w:pPr>
              <w:pStyle w:val="Tabletext"/>
              <w:tabs>
                <w:tab w:val="decimal" w:pos="457"/>
              </w:tabs>
              <w:rPr>
                <w:rFonts w:asciiTheme="minorHAnsi" w:hAnsiTheme="minorHAnsi"/>
                <w:sz w:val="23"/>
                <w:szCs w:val="23"/>
              </w:rPr>
            </w:pPr>
            <w:r w:rsidRPr="00AF181E">
              <w:rPr>
                <w:rFonts w:asciiTheme="minorHAnsi" w:hAnsiTheme="minorHAnsi"/>
                <w:sz w:val="23"/>
                <w:szCs w:val="23"/>
              </w:rPr>
              <w:t>Not despatched in energy market, so no influence on price</w:t>
            </w:r>
            <w:r w:rsidR="00F85680">
              <w:rPr>
                <w:rFonts w:asciiTheme="minorHAnsi" w:hAnsiTheme="minorHAnsi"/>
                <w:sz w:val="23"/>
                <w:szCs w:val="23"/>
              </w:rPr>
              <w:t>.</w:t>
            </w:r>
            <w:r w:rsidRPr="00AF181E">
              <w:rPr>
                <w:rFonts w:asciiTheme="minorHAnsi" w:hAnsiTheme="minorHAnsi"/>
                <w:sz w:val="23"/>
                <w:szCs w:val="23"/>
              </w:rPr>
              <w:t xml:space="preserve"> </w:t>
            </w:r>
            <w:r w:rsidR="00F85680">
              <w:rPr>
                <w:rFonts w:asciiTheme="minorHAnsi" w:hAnsiTheme="minorHAnsi"/>
                <w:sz w:val="23"/>
                <w:szCs w:val="23"/>
              </w:rPr>
              <w:t>W</w:t>
            </w:r>
            <w:r w:rsidRPr="00AF181E">
              <w:rPr>
                <w:rFonts w:asciiTheme="minorHAnsi" w:hAnsiTheme="minorHAnsi"/>
                <w:sz w:val="23"/>
                <w:szCs w:val="23"/>
              </w:rPr>
              <w:t>ithholding deterred through the loss of either availability or capacity payments</w:t>
            </w:r>
          </w:p>
        </w:tc>
      </w:tr>
      <w:tr w:rsidR="00CF3688" w:rsidRPr="00AF181E" w:rsidTr="00FC357D">
        <w:tc>
          <w:tcPr>
            <w:tcW w:w="1774" w:type="pct"/>
            <w:tcMar>
              <w:left w:w="108" w:type="dxa"/>
              <w:right w:w="108" w:type="dxa"/>
            </w:tcMar>
          </w:tcPr>
          <w:p w:rsidR="00CF3688" w:rsidRPr="00AF181E" w:rsidRDefault="00CF3688" w:rsidP="00FC357D">
            <w:pPr>
              <w:pStyle w:val="Tabletext"/>
              <w:rPr>
                <w:rFonts w:asciiTheme="minorHAnsi" w:hAnsiTheme="minorHAnsi"/>
                <w:sz w:val="23"/>
                <w:szCs w:val="23"/>
              </w:rPr>
            </w:pPr>
            <w:r w:rsidRPr="00AF181E">
              <w:rPr>
                <w:rFonts w:asciiTheme="minorHAnsi" w:hAnsiTheme="minorHAnsi"/>
                <w:sz w:val="23"/>
                <w:szCs w:val="23"/>
              </w:rPr>
              <w:t>Withdraw one Kilroot unit</w:t>
            </w:r>
          </w:p>
        </w:tc>
        <w:tc>
          <w:tcPr>
            <w:tcW w:w="3226" w:type="pct"/>
            <w:tcMar>
              <w:left w:w="108" w:type="dxa"/>
              <w:right w:w="108" w:type="dxa"/>
            </w:tcMar>
          </w:tcPr>
          <w:p w:rsidR="00CF3688" w:rsidRPr="00AF181E" w:rsidRDefault="00CF3688" w:rsidP="00F85680">
            <w:pPr>
              <w:pStyle w:val="Tabletext"/>
              <w:tabs>
                <w:tab w:val="decimal" w:pos="457"/>
              </w:tabs>
              <w:rPr>
                <w:rFonts w:asciiTheme="minorHAnsi" w:hAnsiTheme="minorHAnsi"/>
                <w:sz w:val="23"/>
                <w:szCs w:val="23"/>
              </w:rPr>
            </w:pPr>
            <w:r w:rsidRPr="00AF181E">
              <w:rPr>
                <w:rFonts w:asciiTheme="minorHAnsi" w:hAnsiTheme="minorHAnsi"/>
                <w:sz w:val="23"/>
                <w:szCs w:val="23"/>
              </w:rPr>
              <w:t xml:space="preserve">No impact from the </w:t>
            </w:r>
            <w:r w:rsidR="00FC357D" w:rsidRPr="00AF181E">
              <w:rPr>
                <w:rFonts w:asciiTheme="minorHAnsi" w:hAnsiTheme="minorHAnsi"/>
                <w:sz w:val="23"/>
                <w:szCs w:val="23"/>
              </w:rPr>
              <w:t>acquisition</w:t>
            </w:r>
            <w:r w:rsidRPr="00AF181E">
              <w:rPr>
                <w:rFonts w:asciiTheme="minorHAnsi" w:hAnsiTheme="minorHAnsi"/>
                <w:sz w:val="23"/>
                <w:szCs w:val="23"/>
              </w:rPr>
              <w:t xml:space="preserve"> as the only benefit is on the remaining Kilroot unit</w:t>
            </w:r>
            <w:r w:rsidR="00F85680">
              <w:rPr>
                <w:rFonts w:asciiTheme="minorHAnsi" w:hAnsiTheme="minorHAnsi"/>
                <w:sz w:val="23"/>
                <w:szCs w:val="23"/>
              </w:rPr>
              <w:t>. W</w:t>
            </w:r>
            <w:r w:rsidRPr="00AF181E">
              <w:rPr>
                <w:rFonts w:asciiTheme="minorHAnsi" w:hAnsiTheme="minorHAnsi"/>
                <w:sz w:val="23"/>
                <w:szCs w:val="23"/>
              </w:rPr>
              <w:t>ithholding deterred through the loss of capacity payments</w:t>
            </w:r>
          </w:p>
        </w:tc>
      </w:tr>
      <w:tr w:rsidR="00CF3688" w:rsidRPr="00AF181E" w:rsidTr="00FC357D">
        <w:tc>
          <w:tcPr>
            <w:tcW w:w="1774" w:type="pct"/>
            <w:tcMar>
              <w:left w:w="108" w:type="dxa"/>
              <w:right w:w="108" w:type="dxa"/>
            </w:tcMar>
          </w:tcPr>
          <w:p w:rsidR="00CF3688" w:rsidRPr="00AF181E" w:rsidRDefault="00CF3688" w:rsidP="00FC357D">
            <w:pPr>
              <w:pStyle w:val="Tabletext"/>
              <w:rPr>
                <w:rFonts w:asciiTheme="minorHAnsi" w:hAnsiTheme="minorHAnsi"/>
                <w:sz w:val="23"/>
                <w:szCs w:val="23"/>
              </w:rPr>
            </w:pPr>
            <w:r w:rsidRPr="00AF181E">
              <w:rPr>
                <w:rFonts w:asciiTheme="minorHAnsi" w:hAnsiTheme="minorHAnsi"/>
                <w:sz w:val="23"/>
                <w:szCs w:val="23"/>
              </w:rPr>
              <w:t>Withdraw two Kilroot units</w:t>
            </w:r>
          </w:p>
        </w:tc>
        <w:tc>
          <w:tcPr>
            <w:tcW w:w="3226" w:type="pct"/>
            <w:tcMar>
              <w:left w:w="108" w:type="dxa"/>
              <w:right w:w="108" w:type="dxa"/>
            </w:tcMar>
          </w:tcPr>
          <w:p w:rsidR="00CF3688" w:rsidRPr="00AF181E" w:rsidRDefault="00CF3688" w:rsidP="00F85680">
            <w:pPr>
              <w:pStyle w:val="Tabletext"/>
              <w:tabs>
                <w:tab w:val="decimal" w:pos="459"/>
              </w:tabs>
              <w:rPr>
                <w:rFonts w:asciiTheme="minorHAnsi" w:hAnsiTheme="minorHAnsi"/>
                <w:sz w:val="23"/>
                <w:szCs w:val="23"/>
              </w:rPr>
            </w:pPr>
            <w:r w:rsidRPr="00AF181E">
              <w:rPr>
                <w:rFonts w:asciiTheme="minorHAnsi" w:hAnsiTheme="minorHAnsi"/>
                <w:sz w:val="23"/>
                <w:szCs w:val="23"/>
              </w:rPr>
              <w:t>No merchant generation left to benefit</w:t>
            </w:r>
            <w:r w:rsidR="00F85680">
              <w:rPr>
                <w:rFonts w:asciiTheme="minorHAnsi" w:hAnsiTheme="minorHAnsi"/>
                <w:sz w:val="23"/>
                <w:szCs w:val="23"/>
              </w:rPr>
              <w:t>.</w:t>
            </w:r>
            <w:r w:rsidRPr="00AF181E">
              <w:rPr>
                <w:rFonts w:asciiTheme="minorHAnsi" w:hAnsiTheme="minorHAnsi"/>
                <w:sz w:val="23"/>
                <w:szCs w:val="23"/>
              </w:rPr>
              <w:t xml:space="preserve"> </w:t>
            </w:r>
            <w:r w:rsidR="00F85680">
              <w:rPr>
                <w:rFonts w:asciiTheme="minorHAnsi" w:hAnsiTheme="minorHAnsi"/>
                <w:sz w:val="23"/>
                <w:szCs w:val="23"/>
              </w:rPr>
              <w:t>W</w:t>
            </w:r>
            <w:r w:rsidRPr="00AF181E">
              <w:rPr>
                <w:rFonts w:asciiTheme="minorHAnsi" w:hAnsiTheme="minorHAnsi"/>
                <w:sz w:val="23"/>
                <w:szCs w:val="23"/>
              </w:rPr>
              <w:t>ithholding deterred through the loss of capacity payments</w:t>
            </w:r>
          </w:p>
        </w:tc>
      </w:tr>
    </w:tbl>
    <w:p w:rsidR="00ED03CA" w:rsidRPr="00AF181E" w:rsidRDefault="00ED03CA" w:rsidP="002E39B5">
      <w:pPr>
        <w:pStyle w:val="BodyText"/>
        <w:rPr>
          <w:rFonts w:asciiTheme="minorHAnsi" w:hAnsiTheme="minorHAnsi"/>
          <w:sz w:val="23"/>
          <w:szCs w:val="23"/>
        </w:rPr>
      </w:pPr>
    </w:p>
    <w:p w:rsidR="00DF2D29" w:rsidRPr="00EE3E31" w:rsidRDefault="009F6016" w:rsidP="00B545E6">
      <w:pPr>
        <w:pStyle w:val="Default"/>
        <w:jc w:val="both"/>
        <w:rPr>
          <w:rFonts w:asciiTheme="minorHAnsi" w:hAnsiTheme="minorHAnsi"/>
          <w:b/>
          <w:sz w:val="26"/>
          <w:szCs w:val="26"/>
        </w:rPr>
      </w:pPr>
      <w:r w:rsidRPr="00EE3E31">
        <w:rPr>
          <w:rFonts w:asciiTheme="minorHAnsi" w:hAnsiTheme="minorHAnsi"/>
          <w:b/>
          <w:sz w:val="26"/>
          <w:szCs w:val="26"/>
        </w:rPr>
        <w:t xml:space="preserve">3.3 </w:t>
      </w:r>
      <w:r w:rsidR="00EE3E31">
        <w:rPr>
          <w:rFonts w:asciiTheme="minorHAnsi" w:hAnsiTheme="minorHAnsi"/>
          <w:b/>
          <w:sz w:val="26"/>
          <w:szCs w:val="26"/>
        </w:rPr>
        <w:tab/>
      </w:r>
      <w:r w:rsidR="00033B59" w:rsidRPr="00EE3E31">
        <w:rPr>
          <w:rFonts w:asciiTheme="minorHAnsi" w:hAnsiTheme="minorHAnsi"/>
          <w:b/>
          <w:sz w:val="26"/>
          <w:szCs w:val="26"/>
        </w:rPr>
        <w:t>Market Power Mitigation Measures</w:t>
      </w:r>
    </w:p>
    <w:p w:rsidR="00DF2D29" w:rsidRPr="00AF181E" w:rsidRDefault="00DF2D29" w:rsidP="00B545E6">
      <w:pPr>
        <w:pStyle w:val="Default"/>
        <w:jc w:val="both"/>
        <w:rPr>
          <w:rFonts w:asciiTheme="minorHAnsi" w:hAnsiTheme="minorHAnsi"/>
          <w:sz w:val="23"/>
          <w:szCs w:val="23"/>
        </w:rPr>
      </w:pPr>
    </w:p>
    <w:p w:rsidR="00C37D72" w:rsidRPr="00AF181E" w:rsidRDefault="00513372" w:rsidP="004E3F49">
      <w:pPr>
        <w:pStyle w:val="Default"/>
        <w:jc w:val="both"/>
        <w:rPr>
          <w:rFonts w:asciiTheme="minorHAnsi" w:hAnsiTheme="minorHAnsi"/>
          <w:sz w:val="23"/>
          <w:szCs w:val="23"/>
        </w:rPr>
      </w:pPr>
      <w:r w:rsidRPr="00AF181E">
        <w:rPr>
          <w:rFonts w:asciiTheme="minorHAnsi" w:hAnsiTheme="minorHAnsi"/>
          <w:sz w:val="23"/>
          <w:szCs w:val="23"/>
        </w:rPr>
        <w:t>A</w:t>
      </w:r>
      <w:r w:rsidR="002E39B5" w:rsidRPr="00AF181E">
        <w:rPr>
          <w:rFonts w:asciiTheme="minorHAnsi" w:hAnsiTheme="minorHAnsi"/>
          <w:sz w:val="23"/>
          <w:szCs w:val="23"/>
        </w:rPr>
        <w:t xml:space="preserve">s has been pointed out above AES has no incentive either to increase bid prices </w:t>
      </w:r>
      <w:r w:rsidR="00BE2843" w:rsidRPr="00AF181E">
        <w:rPr>
          <w:rFonts w:asciiTheme="minorHAnsi" w:hAnsiTheme="minorHAnsi"/>
          <w:sz w:val="23"/>
          <w:szCs w:val="23"/>
        </w:rPr>
        <w:t xml:space="preserve">(in an attempt to increase constraint payments) </w:t>
      </w:r>
      <w:r w:rsidR="002E39B5" w:rsidRPr="00AF181E">
        <w:rPr>
          <w:rFonts w:asciiTheme="minorHAnsi" w:hAnsiTheme="minorHAnsi"/>
          <w:sz w:val="23"/>
          <w:szCs w:val="23"/>
        </w:rPr>
        <w:t>or withhold</w:t>
      </w:r>
      <w:r w:rsidR="00BE2843" w:rsidRPr="00AF181E">
        <w:rPr>
          <w:rFonts w:asciiTheme="minorHAnsi" w:hAnsiTheme="minorHAnsi"/>
          <w:sz w:val="23"/>
          <w:szCs w:val="23"/>
        </w:rPr>
        <w:t xml:space="preserve"> capacity (in an attempt to increase energy payments) as increased bid prices reduces the </w:t>
      </w:r>
      <w:r w:rsidR="00EE2CF5" w:rsidRPr="00AF181E">
        <w:rPr>
          <w:rFonts w:asciiTheme="minorHAnsi" w:hAnsiTheme="minorHAnsi"/>
          <w:sz w:val="23"/>
          <w:szCs w:val="23"/>
        </w:rPr>
        <w:t xml:space="preserve">likelihood of </w:t>
      </w:r>
      <w:r w:rsidR="00BE2843" w:rsidRPr="00AF181E">
        <w:rPr>
          <w:rFonts w:asciiTheme="minorHAnsi" w:hAnsiTheme="minorHAnsi"/>
          <w:sz w:val="23"/>
          <w:szCs w:val="23"/>
        </w:rPr>
        <w:t>earn</w:t>
      </w:r>
      <w:r w:rsidR="00EE2CF5" w:rsidRPr="00AF181E">
        <w:rPr>
          <w:rFonts w:asciiTheme="minorHAnsi" w:hAnsiTheme="minorHAnsi"/>
          <w:sz w:val="23"/>
          <w:szCs w:val="23"/>
        </w:rPr>
        <w:t>ing</w:t>
      </w:r>
      <w:r w:rsidR="00BE2843" w:rsidRPr="00AF181E">
        <w:rPr>
          <w:rFonts w:asciiTheme="minorHAnsi" w:hAnsiTheme="minorHAnsi"/>
          <w:sz w:val="23"/>
          <w:szCs w:val="23"/>
        </w:rPr>
        <w:t xml:space="preserve"> profits as part of the market schedule and withholding capacity incurs the loss of either availability or capacity payments. </w:t>
      </w:r>
    </w:p>
    <w:p w:rsidR="00C37D72" w:rsidRPr="00AF181E" w:rsidRDefault="00C37D72" w:rsidP="004E3F49">
      <w:pPr>
        <w:pStyle w:val="Default"/>
        <w:jc w:val="both"/>
        <w:rPr>
          <w:rFonts w:asciiTheme="minorHAnsi" w:hAnsiTheme="minorHAnsi"/>
          <w:sz w:val="23"/>
          <w:szCs w:val="23"/>
        </w:rPr>
      </w:pPr>
    </w:p>
    <w:p w:rsidR="00BE2843" w:rsidRPr="00AF181E" w:rsidRDefault="00C37D72" w:rsidP="004E3F49">
      <w:pPr>
        <w:pStyle w:val="Default"/>
        <w:jc w:val="both"/>
        <w:rPr>
          <w:rFonts w:asciiTheme="minorHAnsi" w:hAnsiTheme="minorHAnsi"/>
          <w:sz w:val="23"/>
          <w:szCs w:val="23"/>
        </w:rPr>
      </w:pPr>
      <w:r w:rsidRPr="00AF181E">
        <w:rPr>
          <w:rFonts w:asciiTheme="minorHAnsi" w:hAnsiTheme="minorHAnsi"/>
          <w:sz w:val="23"/>
          <w:szCs w:val="23"/>
        </w:rPr>
        <w:t>Market power mitigation is a key component of the SEM and</w:t>
      </w:r>
      <w:r w:rsidR="00BE2843" w:rsidRPr="00AF181E">
        <w:rPr>
          <w:rFonts w:asciiTheme="minorHAnsi" w:hAnsiTheme="minorHAnsi"/>
          <w:sz w:val="23"/>
          <w:szCs w:val="23"/>
        </w:rPr>
        <w:t xml:space="preserve"> the R</w:t>
      </w:r>
      <w:r w:rsidR="00F85680">
        <w:rPr>
          <w:rFonts w:asciiTheme="minorHAnsi" w:hAnsiTheme="minorHAnsi"/>
          <w:sz w:val="23"/>
          <w:szCs w:val="23"/>
        </w:rPr>
        <w:t xml:space="preserve">egulatory </w:t>
      </w:r>
      <w:r w:rsidR="00BE2843" w:rsidRPr="00AF181E">
        <w:rPr>
          <w:rFonts w:asciiTheme="minorHAnsi" w:hAnsiTheme="minorHAnsi"/>
          <w:sz w:val="23"/>
          <w:szCs w:val="23"/>
        </w:rPr>
        <w:t>A</w:t>
      </w:r>
      <w:r w:rsidR="00F85680">
        <w:rPr>
          <w:rFonts w:asciiTheme="minorHAnsi" w:hAnsiTheme="minorHAnsi"/>
          <w:sz w:val="23"/>
          <w:szCs w:val="23"/>
        </w:rPr>
        <w:t>uthorities (“RAs”)</w:t>
      </w:r>
      <w:r w:rsidR="00BE2843" w:rsidRPr="00AF181E">
        <w:rPr>
          <w:rFonts w:asciiTheme="minorHAnsi" w:hAnsiTheme="minorHAnsi"/>
          <w:sz w:val="23"/>
          <w:szCs w:val="23"/>
        </w:rPr>
        <w:t xml:space="preserve"> have put in place a number of market power mitigation measures as outlined in the Consultation Paper.</w:t>
      </w:r>
      <w:r w:rsidR="002A4DAE" w:rsidRPr="00AF181E">
        <w:rPr>
          <w:rFonts w:asciiTheme="minorHAnsi" w:hAnsiTheme="minorHAnsi"/>
          <w:sz w:val="23"/>
          <w:szCs w:val="23"/>
        </w:rPr>
        <w:t xml:space="preserve"> The market power mitigation measures currently applicable to AES are the Bidding Code of Practice, the MMU and potential local power mitigation measures.</w:t>
      </w:r>
    </w:p>
    <w:p w:rsidR="00345363" w:rsidRPr="00AF181E" w:rsidRDefault="00345363" w:rsidP="004E3F49">
      <w:pPr>
        <w:pStyle w:val="Default"/>
        <w:jc w:val="both"/>
        <w:rPr>
          <w:rFonts w:asciiTheme="minorHAnsi" w:hAnsiTheme="minorHAnsi"/>
          <w:sz w:val="23"/>
          <w:szCs w:val="23"/>
        </w:rPr>
      </w:pPr>
    </w:p>
    <w:p w:rsidR="00C80A6C" w:rsidRPr="00EE3E31" w:rsidRDefault="00EE3E31" w:rsidP="004E3F49">
      <w:pPr>
        <w:pStyle w:val="Default"/>
        <w:jc w:val="both"/>
        <w:rPr>
          <w:rFonts w:asciiTheme="minorHAnsi" w:hAnsiTheme="minorHAnsi"/>
          <w:b/>
        </w:rPr>
      </w:pPr>
      <w:r w:rsidRPr="00EE3E31">
        <w:rPr>
          <w:rFonts w:asciiTheme="minorHAnsi" w:hAnsiTheme="minorHAnsi"/>
          <w:b/>
        </w:rPr>
        <w:t xml:space="preserve">3.3.1 </w:t>
      </w:r>
      <w:r>
        <w:rPr>
          <w:rFonts w:asciiTheme="minorHAnsi" w:hAnsiTheme="minorHAnsi"/>
          <w:b/>
        </w:rPr>
        <w:tab/>
      </w:r>
      <w:r w:rsidR="00C80A6C" w:rsidRPr="00EE3E31">
        <w:rPr>
          <w:rFonts w:asciiTheme="minorHAnsi" w:hAnsiTheme="minorHAnsi"/>
          <w:b/>
        </w:rPr>
        <w:t>Bidding Code of Practice</w:t>
      </w:r>
    </w:p>
    <w:p w:rsidR="00C80A6C" w:rsidRPr="00AF181E" w:rsidRDefault="00C80A6C" w:rsidP="004E3F49">
      <w:pPr>
        <w:pStyle w:val="Default"/>
        <w:jc w:val="both"/>
        <w:rPr>
          <w:rFonts w:asciiTheme="minorHAnsi" w:hAnsiTheme="minorHAnsi"/>
          <w:b/>
          <w:sz w:val="23"/>
          <w:szCs w:val="23"/>
        </w:rPr>
      </w:pPr>
    </w:p>
    <w:p w:rsidR="00722379" w:rsidRPr="00AF181E" w:rsidRDefault="00722379" w:rsidP="00A11FC1">
      <w:pPr>
        <w:pStyle w:val="Default"/>
        <w:jc w:val="both"/>
        <w:rPr>
          <w:rFonts w:asciiTheme="minorHAnsi" w:hAnsiTheme="minorHAnsi"/>
          <w:sz w:val="23"/>
          <w:szCs w:val="23"/>
        </w:rPr>
      </w:pPr>
      <w:r w:rsidRPr="00AF181E">
        <w:rPr>
          <w:rFonts w:asciiTheme="minorHAnsi" w:hAnsiTheme="minorHAnsi"/>
          <w:sz w:val="23"/>
          <w:szCs w:val="23"/>
        </w:rPr>
        <w:t xml:space="preserve">Condition 17 of the </w:t>
      </w:r>
      <w:r w:rsidR="000D50C1">
        <w:rPr>
          <w:rFonts w:asciiTheme="minorHAnsi" w:hAnsiTheme="minorHAnsi"/>
          <w:sz w:val="23"/>
          <w:szCs w:val="23"/>
        </w:rPr>
        <w:t>AES KPL</w:t>
      </w:r>
      <w:r w:rsidRPr="00AF181E">
        <w:rPr>
          <w:rFonts w:asciiTheme="minorHAnsi" w:hAnsiTheme="minorHAnsi"/>
          <w:sz w:val="23"/>
          <w:szCs w:val="23"/>
        </w:rPr>
        <w:t xml:space="preserve"> and </w:t>
      </w:r>
      <w:r w:rsidR="000D50C1">
        <w:rPr>
          <w:rFonts w:asciiTheme="minorHAnsi" w:hAnsiTheme="minorHAnsi"/>
          <w:sz w:val="23"/>
          <w:szCs w:val="23"/>
        </w:rPr>
        <w:t>AES BL</w:t>
      </w:r>
      <w:r w:rsidRPr="00AF181E">
        <w:rPr>
          <w:rFonts w:asciiTheme="minorHAnsi" w:hAnsiTheme="minorHAnsi"/>
          <w:sz w:val="23"/>
          <w:szCs w:val="23"/>
        </w:rPr>
        <w:t xml:space="preserve"> </w:t>
      </w:r>
      <w:r w:rsidR="00DE31DE">
        <w:rPr>
          <w:rFonts w:asciiTheme="minorHAnsi" w:hAnsiTheme="minorHAnsi"/>
          <w:sz w:val="23"/>
          <w:szCs w:val="23"/>
        </w:rPr>
        <w:t>G</w:t>
      </w:r>
      <w:r w:rsidRPr="00AF181E">
        <w:rPr>
          <w:rFonts w:asciiTheme="minorHAnsi" w:hAnsiTheme="minorHAnsi"/>
          <w:sz w:val="23"/>
          <w:szCs w:val="23"/>
        </w:rPr>
        <w:t xml:space="preserve">eneration </w:t>
      </w:r>
      <w:r w:rsidR="00DE31DE">
        <w:rPr>
          <w:rFonts w:asciiTheme="minorHAnsi" w:hAnsiTheme="minorHAnsi"/>
          <w:sz w:val="23"/>
          <w:szCs w:val="23"/>
        </w:rPr>
        <w:t>L</w:t>
      </w:r>
      <w:r w:rsidRPr="00AF181E">
        <w:rPr>
          <w:rFonts w:asciiTheme="minorHAnsi" w:hAnsiTheme="minorHAnsi"/>
          <w:sz w:val="23"/>
          <w:szCs w:val="23"/>
        </w:rPr>
        <w:t xml:space="preserve">icences applies to the uncontracted units. </w:t>
      </w:r>
      <w:r w:rsidR="00345363" w:rsidRPr="00AF181E">
        <w:rPr>
          <w:rFonts w:asciiTheme="minorHAnsi" w:hAnsiTheme="minorHAnsi"/>
          <w:sz w:val="23"/>
          <w:szCs w:val="23"/>
        </w:rPr>
        <w:t>Condition 17</w:t>
      </w:r>
      <w:r w:rsidR="00114199" w:rsidRPr="00AF181E">
        <w:rPr>
          <w:rFonts w:asciiTheme="minorHAnsi" w:hAnsiTheme="minorHAnsi"/>
          <w:sz w:val="23"/>
          <w:szCs w:val="23"/>
        </w:rPr>
        <w:t xml:space="preserve"> (6)</w:t>
      </w:r>
      <w:r w:rsidR="00345363" w:rsidRPr="00AF181E">
        <w:rPr>
          <w:rFonts w:asciiTheme="minorHAnsi" w:hAnsiTheme="minorHAnsi"/>
          <w:sz w:val="23"/>
          <w:szCs w:val="23"/>
        </w:rPr>
        <w:t xml:space="preserve"> requires the licensees to comply with the Bidding Code of Practice. </w:t>
      </w:r>
      <w:r w:rsidR="00A11FC1" w:rsidRPr="00AF181E">
        <w:rPr>
          <w:rFonts w:asciiTheme="minorHAnsi" w:hAnsiTheme="minorHAnsi"/>
          <w:sz w:val="23"/>
          <w:szCs w:val="23"/>
        </w:rPr>
        <w:t xml:space="preserve"> </w:t>
      </w:r>
      <w:r w:rsidR="00C07D7B" w:rsidRPr="00AF181E">
        <w:rPr>
          <w:rFonts w:asciiTheme="minorHAnsi" w:hAnsiTheme="minorHAnsi"/>
          <w:sz w:val="23"/>
          <w:szCs w:val="23"/>
        </w:rPr>
        <w:t xml:space="preserve">This can be enforced under </w:t>
      </w:r>
      <w:r w:rsidRPr="00AF181E">
        <w:rPr>
          <w:rFonts w:asciiTheme="minorHAnsi" w:hAnsiTheme="minorHAnsi"/>
          <w:sz w:val="23"/>
          <w:szCs w:val="23"/>
        </w:rPr>
        <w:t xml:space="preserve">Condition 17 (7) </w:t>
      </w:r>
      <w:r w:rsidR="00C07D7B" w:rsidRPr="00AF181E">
        <w:rPr>
          <w:rFonts w:asciiTheme="minorHAnsi" w:hAnsiTheme="minorHAnsi"/>
          <w:sz w:val="23"/>
          <w:szCs w:val="23"/>
        </w:rPr>
        <w:t xml:space="preserve">which </w:t>
      </w:r>
      <w:r w:rsidRPr="00AF181E">
        <w:rPr>
          <w:rFonts w:asciiTheme="minorHAnsi" w:hAnsiTheme="minorHAnsi"/>
          <w:sz w:val="23"/>
          <w:szCs w:val="23"/>
        </w:rPr>
        <w:t>enables the Authority to issue directions to the licensees to ensure their compliance with the Bidding Code of Practice.</w:t>
      </w:r>
    </w:p>
    <w:p w:rsidR="00722379" w:rsidRPr="00AF181E" w:rsidRDefault="00722379" w:rsidP="00A11FC1">
      <w:pPr>
        <w:pStyle w:val="Default"/>
        <w:jc w:val="both"/>
        <w:rPr>
          <w:rFonts w:asciiTheme="minorHAnsi" w:hAnsiTheme="minorHAnsi"/>
          <w:sz w:val="23"/>
          <w:szCs w:val="23"/>
        </w:rPr>
      </w:pPr>
    </w:p>
    <w:p w:rsidR="00C07D7B" w:rsidRPr="00AF181E" w:rsidRDefault="00722379" w:rsidP="00C07D7B">
      <w:pPr>
        <w:pStyle w:val="Default"/>
        <w:jc w:val="both"/>
        <w:rPr>
          <w:rFonts w:asciiTheme="minorHAnsi" w:hAnsiTheme="minorHAnsi" w:cs="Garamond"/>
          <w:sz w:val="23"/>
          <w:szCs w:val="23"/>
          <w:lang w:val="en-US"/>
        </w:rPr>
      </w:pPr>
      <w:r w:rsidRPr="00AF181E">
        <w:rPr>
          <w:rFonts w:asciiTheme="minorHAnsi" w:hAnsiTheme="minorHAnsi"/>
          <w:sz w:val="23"/>
          <w:szCs w:val="23"/>
        </w:rPr>
        <w:t xml:space="preserve">Condition 18 of the </w:t>
      </w:r>
      <w:r w:rsidR="000D50C1">
        <w:rPr>
          <w:rFonts w:asciiTheme="minorHAnsi" w:hAnsiTheme="minorHAnsi"/>
          <w:sz w:val="23"/>
          <w:szCs w:val="23"/>
        </w:rPr>
        <w:t>AES KPL</w:t>
      </w:r>
      <w:r w:rsidRPr="00AF181E">
        <w:rPr>
          <w:rFonts w:asciiTheme="minorHAnsi" w:hAnsiTheme="minorHAnsi"/>
          <w:sz w:val="23"/>
          <w:szCs w:val="23"/>
        </w:rPr>
        <w:t xml:space="preserve"> and </w:t>
      </w:r>
      <w:r w:rsidR="000D50C1">
        <w:rPr>
          <w:rFonts w:asciiTheme="minorHAnsi" w:hAnsiTheme="minorHAnsi"/>
          <w:sz w:val="23"/>
          <w:szCs w:val="23"/>
        </w:rPr>
        <w:t>AES BL</w:t>
      </w:r>
      <w:r w:rsidRPr="00AF181E">
        <w:rPr>
          <w:rFonts w:asciiTheme="minorHAnsi" w:hAnsiTheme="minorHAnsi"/>
          <w:sz w:val="23"/>
          <w:szCs w:val="23"/>
        </w:rPr>
        <w:t xml:space="preserve"> </w:t>
      </w:r>
      <w:r w:rsidR="00DE31DE">
        <w:rPr>
          <w:rFonts w:asciiTheme="minorHAnsi" w:hAnsiTheme="minorHAnsi"/>
          <w:sz w:val="23"/>
          <w:szCs w:val="23"/>
        </w:rPr>
        <w:t>G</w:t>
      </w:r>
      <w:r w:rsidRPr="00AF181E">
        <w:rPr>
          <w:rFonts w:asciiTheme="minorHAnsi" w:hAnsiTheme="minorHAnsi"/>
          <w:sz w:val="23"/>
          <w:szCs w:val="23"/>
        </w:rPr>
        <w:t xml:space="preserve">eneration </w:t>
      </w:r>
      <w:r w:rsidR="00DE31DE">
        <w:rPr>
          <w:rFonts w:asciiTheme="minorHAnsi" w:hAnsiTheme="minorHAnsi"/>
          <w:sz w:val="23"/>
          <w:szCs w:val="23"/>
        </w:rPr>
        <w:t>L</w:t>
      </w:r>
      <w:r w:rsidRPr="00AF181E">
        <w:rPr>
          <w:rFonts w:asciiTheme="minorHAnsi" w:hAnsiTheme="minorHAnsi"/>
          <w:sz w:val="23"/>
          <w:szCs w:val="23"/>
        </w:rPr>
        <w:t xml:space="preserve">icences applies to the contracted units. </w:t>
      </w:r>
      <w:r w:rsidR="00A11FC1" w:rsidRPr="00AF181E">
        <w:rPr>
          <w:rFonts w:asciiTheme="minorHAnsi" w:hAnsiTheme="minorHAnsi"/>
          <w:sz w:val="23"/>
          <w:szCs w:val="23"/>
        </w:rPr>
        <w:t>Condition 18</w:t>
      </w:r>
      <w:r w:rsidRPr="00AF181E">
        <w:rPr>
          <w:rFonts w:asciiTheme="minorHAnsi" w:hAnsiTheme="minorHAnsi"/>
          <w:sz w:val="23"/>
          <w:szCs w:val="23"/>
        </w:rPr>
        <w:t xml:space="preserve"> (5)</w:t>
      </w:r>
      <w:r w:rsidR="00A11FC1" w:rsidRPr="00AF181E">
        <w:rPr>
          <w:rFonts w:asciiTheme="minorHAnsi" w:hAnsiTheme="minorHAnsi"/>
          <w:sz w:val="23"/>
          <w:szCs w:val="23"/>
        </w:rPr>
        <w:t xml:space="preserve"> requires the licensees to ensure that the </w:t>
      </w:r>
      <w:r w:rsidR="00A11FC1" w:rsidRPr="00AF181E">
        <w:rPr>
          <w:rFonts w:asciiTheme="minorHAnsi" w:hAnsiTheme="minorHAnsi" w:cs="Garamond"/>
          <w:sz w:val="23"/>
          <w:szCs w:val="23"/>
          <w:lang w:val="en-US"/>
        </w:rPr>
        <w:t>components of the Commercial Offer Data</w:t>
      </w:r>
      <w:r w:rsidR="00A11FC1" w:rsidRPr="00AF181E">
        <w:rPr>
          <w:rFonts w:asciiTheme="minorHAnsi" w:hAnsiTheme="minorHAnsi"/>
          <w:sz w:val="23"/>
          <w:szCs w:val="23"/>
        </w:rPr>
        <w:t xml:space="preserve"> provided to NIEE </w:t>
      </w:r>
      <w:r w:rsidR="007307BF">
        <w:rPr>
          <w:rFonts w:asciiTheme="minorHAnsi" w:hAnsiTheme="minorHAnsi"/>
          <w:sz w:val="23"/>
          <w:szCs w:val="23"/>
        </w:rPr>
        <w:t xml:space="preserve">PPB </w:t>
      </w:r>
      <w:r w:rsidR="00A11FC1" w:rsidRPr="00AF181E">
        <w:rPr>
          <w:rFonts w:asciiTheme="minorHAnsi" w:hAnsiTheme="minorHAnsi"/>
          <w:sz w:val="23"/>
          <w:szCs w:val="23"/>
        </w:rPr>
        <w:t xml:space="preserve">under the terms of the IAs </w:t>
      </w:r>
      <w:r w:rsidRPr="00AF181E">
        <w:rPr>
          <w:rFonts w:asciiTheme="minorHAnsi" w:hAnsiTheme="minorHAnsi"/>
          <w:sz w:val="23"/>
          <w:szCs w:val="23"/>
        </w:rPr>
        <w:t xml:space="preserve">for the contracted plant </w:t>
      </w:r>
      <w:r w:rsidR="00A11FC1" w:rsidRPr="00AF181E">
        <w:rPr>
          <w:rFonts w:asciiTheme="minorHAnsi" w:hAnsiTheme="minorHAnsi"/>
          <w:sz w:val="23"/>
          <w:szCs w:val="23"/>
        </w:rPr>
        <w:t xml:space="preserve">enable NIEE </w:t>
      </w:r>
      <w:r w:rsidR="00DE31DE">
        <w:rPr>
          <w:rFonts w:asciiTheme="minorHAnsi" w:hAnsiTheme="minorHAnsi"/>
          <w:sz w:val="23"/>
          <w:szCs w:val="23"/>
        </w:rPr>
        <w:t xml:space="preserve">PPB </w:t>
      </w:r>
      <w:r w:rsidR="00A11FC1" w:rsidRPr="00AF181E">
        <w:rPr>
          <w:rFonts w:asciiTheme="minorHAnsi" w:hAnsiTheme="minorHAnsi"/>
          <w:sz w:val="23"/>
          <w:szCs w:val="23"/>
        </w:rPr>
        <w:t>to comply with its obligations under Condition 57 (Cost-Reflective Bidding in the Single Electricity Market) of the NIEE Supply Licence</w:t>
      </w:r>
      <w:r w:rsidR="00A11FC1" w:rsidRPr="00AF181E">
        <w:rPr>
          <w:rFonts w:asciiTheme="minorHAnsi" w:hAnsiTheme="minorHAnsi" w:cs="Garamond"/>
          <w:sz w:val="23"/>
          <w:szCs w:val="23"/>
          <w:lang w:val="en-US"/>
        </w:rPr>
        <w:t xml:space="preserve">. </w:t>
      </w:r>
      <w:r w:rsidR="00C07D7B" w:rsidRPr="00AF181E">
        <w:rPr>
          <w:rFonts w:asciiTheme="minorHAnsi" w:hAnsiTheme="minorHAnsi" w:cs="Garamond"/>
          <w:sz w:val="23"/>
          <w:szCs w:val="23"/>
          <w:lang w:val="en-US"/>
        </w:rPr>
        <w:t>Further under the</w:t>
      </w:r>
      <w:r w:rsidR="00C07D7B" w:rsidRPr="00AF181E">
        <w:rPr>
          <w:rFonts w:asciiTheme="minorHAnsi" w:hAnsiTheme="minorHAnsi"/>
          <w:sz w:val="23"/>
          <w:szCs w:val="23"/>
        </w:rPr>
        <w:t xml:space="preserve"> </w:t>
      </w:r>
      <w:r w:rsidR="000D50C1">
        <w:rPr>
          <w:rFonts w:asciiTheme="minorHAnsi" w:hAnsiTheme="minorHAnsi"/>
          <w:sz w:val="23"/>
          <w:szCs w:val="23"/>
        </w:rPr>
        <w:t>AES KPL</w:t>
      </w:r>
      <w:r w:rsidR="00C07D7B" w:rsidRPr="00AF181E">
        <w:rPr>
          <w:rFonts w:asciiTheme="minorHAnsi" w:hAnsiTheme="minorHAnsi"/>
          <w:sz w:val="23"/>
          <w:szCs w:val="23"/>
        </w:rPr>
        <w:t xml:space="preserve"> and </w:t>
      </w:r>
      <w:r w:rsidR="000D50C1">
        <w:rPr>
          <w:rFonts w:asciiTheme="minorHAnsi" w:hAnsiTheme="minorHAnsi"/>
          <w:sz w:val="23"/>
          <w:szCs w:val="23"/>
        </w:rPr>
        <w:t>AES BL</w:t>
      </w:r>
      <w:r w:rsidR="00C07D7B" w:rsidRPr="00AF181E">
        <w:rPr>
          <w:rFonts w:asciiTheme="minorHAnsi" w:hAnsiTheme="minorHAnsi"/>
          <w:sz w:val="23"/>
          <w:szCs w:val="23"/>
        </w:rPr>
        <w:t xml:space="preserve"> </w:t>
      </w:r>
      <w:r w:rsidR="00C07D7B" w:rsidRPr="00AF181E">
        <w:rPr>
          <w:rFonts w:asciiTheme="minorHAnsi" w:hAnsiTheme="minorHAnsi"/>
          <w:color w:val="auto"/>
          <w:sz w:val="23"/>
          <w:szCs w:val="23"/>
        </w:rPr>
        <w:t>IAs</w:t>
      </w:r>
      <w:r w:rsidR="00C07D7B" w:rsidRPr="00AF181E">
        <w:rPr>
          <w:rFonts w:asciiTheme="minorHAnsi" w:hAnsiTheme="minorHAnsi" w:cs="Garamond"/>
          <w:sz w:val="23"/>
          <w:szCs w:val="23"/>
          <w:lang w:val="en-US"/>
        </w:rPr>
        <w:t xml:space="preserve"> (Clause 5.6) NIEE </w:t>
      </w:r>
      <w:r w:rsidR="00DE31DE">
        <w:rPr>
          <w:rFonts w:asciiTheme="minorHAnsi" w:hAnsiTheme="minorHAnsi" w:cs="Garamond"/>
          <w:sz w:val="23"/>
          <w:szCs w:val="23"/>
          <w:lang w:val="en-US"/>
        </w:rPr>
        <w:t xml:space="preserve">PPB </w:t>
      </w:r>
      <w:r w:rsidR="00C07D7B" w:rsidRPr="00AF181E">
        <w:rPr>
          <w:rFonts w:asciiTheme="minorHAnsi" w:hAnsiTheme="minorHAnsi" w:cs="Garamond"/>
          <w:sz w:val="23"/>
          <w:szCs w:val="23"/>
          <w:lang w:val="en-US"/>
        </w:rPr>
        <w:t xml:space="preserve">ultimately has the right to request that the Authority investigate whether </w:t>
      </w:r>
      <w:r w:rsidR="00C07D7B" w:rsidRPr="00AF181E">
        <w:rPr>
          <w:rFonts w:asciiTheme="minorHAnsi" w:hAnsiTheme="minorHAnsi"/>
          <w:sz w:val="23"/>
          <w:szCs w:val="23"/>
        </w:rPr>
        <w:t xml:space="preserve">AES </w:t>
      </w:r>
      <w:r w:rsidR="000D50C1">
        <w:rPr>
          <w:rFonts w:asciiTheme="minorHAnsi" w:hAnsiTheme="minorHAnsi"/>
          <w:sz w:val="23"/>
          <w:szCs w:val="23"/>
        </w:rPr>
        <w:t>KPL</w:t>
      </w:r>
      <w:r w:rsidR="00C07D7B" w:rsidRPr="00AF181E">
        <w:rPr>
          <w:rFonts w:asciiTheme="minorHAnsi" w:hAnsiTheme="minorHAnsi"/>
          <w:sz w:val="23"/>
          <w:szCs w:val="23"/>
        </w:rPr>
        <w:t xml:space="preserve"> </w:t>
      </w:r>
      <w:r w:rsidR="00DE31DE">
        <w:rPr>
          <w:rFonts w:asciiTheme="minorHAnsi" w:hAnsiTheme="minorHAnsi"/>
          <w:sz w:val="23"/>
          <w:szCs w:val="23"/>
        </w:rPr>
        <w:t>or</w:t>
      </w:r>
      <w:r w:rsidR="00C07D7B" w:rsidRPr="00AF181E">
        <w:rPr>
          <w:rFonts w:asciiTheme="minorHAnsi" w:hAnsiTheme="minorHAnsi"/>
          <w:sz w:val="23"/>
          <w:szCs w:val="23"/>
        </w:rPr>
        <w:t xml:space="preserve"> AES </w:t>
      </w:r>
      <w:r w:rsidR="000D50C1">
        <w:rPr>
          <w:rFonts w:asciiTheme="minorHAnsi" w:hAnsiTheme="minorHAnsi"/>
          <w:sz w:val="23"/>
          <w:szCs w:val="23"/>
        </w:rPr>
        <w:t>BL</w:t>
      </w:r>
      <w:r w:rsidR="00C07D7B" w:rsidRPr="00AF181E">
        <w:rPr>
          <w:rFonts w:asciiTheme="minorHAnsi" w:hAnsiTheme="minorHAnsi" w:cs="Garamond"/>
          <w:sz w:val="23"/>
          <w:szCs w:val="23"/>
          <w:lang w:val="en-US"/>
        </w:rPr>
        <w:t xml:space="preserve"> </w:t>
      </w:r>
      <w:r w:rsidR="00DE31DE">
        <w:rPr>
          <w:rFonts w:asciiTheme="minorHAnsi" w:hAnsiTheme="minorHAnsi" w:cs="Garamond"/>
          <w:sz w:val="23"/>
          <w:szCs w:val="23"/>
          <w:lang w:val="en-US"/>
        </w:rPr>
        <w:t>is</w:t>
      </w:r>
      <w:r w:rsidR="00C07D7B" w:rsidRPr="00AF181E">
        <w:rPr>
          <w:rFonts w:asciiTheme="minorHAnsi" w:hAnsiTheme="minorHAnsi" w:cs="Garamond"/>
          <w:sz w:val="23"/>
          <w:szCs w:val="23"/>
          <w:lang w:val="en-US"/>
        </w:rPr>
        <w:t xml:space="preserve"> in breach of </w:t>
      </w:r>
      <w:r w:rsidR="00DE31DE">
        <w:rPr>
          <w:rFonts w:asciiTheme="minorHAnsi" w:hAnsiTheme="minorHAnsi" w:cs="Garamond"/>
          <w:sz w:val="23"/>
          <w:szCs w:val="23"/>
          <w:lang w:val="en-US"/>
        </w:rPr>
        <w:t>its</w:t>
      </w:r>
      <w:r w:rsidR="00C07D7B" w:rsidRPr="00AF181E">
        <w:rPr>
          <w:rFonts w:asciiTheme="minorHAnsi" w:hAnsiTheme="minorHAnsi" w:cs="Garamond"/>
          <w:sz w:val="23"/>
          <w:szCs w:val="23"/>
          <w:lang w:val="en-US"/>
        </w:rPr>
        <w:t xml:space="preserve"> </w:t>
      </w:r>
      <w:r w:rsidR="00DE31DE">
        <w:rPr>
          <w:rFonts w:asciiTheme="minorHAnsi" w:hAnsiTheme="minorHAnsi" w:cs="Garamond"/>
          <w:sz w:val="23"/>
          <w:szCs w:val="23"/>
          <w:lang w:val="en-US"/>
        </w:rPr>
        <w:t>G</w:t>
      </w:r>
      <w:r w:rsidR="00C07D7B" w:rsidRPr="00AF181E">
        <w:rPr>
          <w:rFonts w:asciiTheme="minorHAnsi" w:hAnsiTheme="minorHAnsi" w:cs="Garamond"/>
          <w:sz w:val="23"/>
          <w:szCs w:val="23"/>
          <w:lang w:val="en-US"/>
        </w:rPr>
        <w:t xml:space="preserve">eneration </w:t>
      </w:r>
      <w:r w:rsidR="00DE31DE">
        <w:rPr>
          <w:rFonts w:asciiTheme="minorHAnsi" w:hAnsiTheme="minorHAnsi" w:cs="Garamond"/>
          <w:sz w:val="23"/>
          <w:szCs w:val="23"/>
          <w:lang w:val="en-US"/>
        </w:rPr>
        <w:t>L</w:t>
      </w:r>
      <w:r w:rsidR="00C80A6C" w:rsidRPr="00AF181E">
        <w:rPr>
          <w:rFonts w:asciiTheme="minorHAnsi" w:hAnsiTheme="minorHAnsi" w:cs="Garamond"/>
          <w:sz w:val="23"/>
          <w:szCs w:val="23"/>
          <w:lang w:val="en-US"/>
        </w:rPr>
        <w:t>icen</w:t>
      </w:r>
      <w:r w:rsidR="000D50C1">
        <w:rPr>
          <w:rFonts w:asciiTheme="minorHAnsi" w:hAnsiTheme="minorHAnsi" w:cs="Garamond"/>
          <w:sz w:val="23"/>
          <w:szCs w:val="23"/>
          <w:lang w:val="en-US"/>
        </w:rPr>
        <w:t>c</w:t>
      </w:r>
      <w:r w:rsidR="00C80A6C" w:rsidRPr="00AF181E">
        <w:rPr>
          <w:rFonts w:asciiTheme="minorHAnsi" w:hAnsiTheme="minorHAnsi" w:cs="Garamond"/>
          <w:sz w:val="23"/>
          <w:szCs w:val="23"/>
          <w:lang w:val="en-US"/>
        </w:rPr>
        <w:t>e</w:t>
      </w:r>
      <w:r w:rsidR="00C07D7B" w:rsidRPr="00AF181E">
        <w:rPr>
          <w:rFonts w:asciiTheme="minorHAnsi" w:hAnsiTheme="minorHAnsi" w:cs="Garamond"/>
          <w:sz w:val="23"/>
          <w:szCs w:val="23"/>
          <w:lang w:val="en-US"/>
        </w:rPr>
        <w:t xml:space="preserve"> if it does not believe the Commercial Offer Data provided to be in accordance with the terms of the IA. </w:t>
      </w:r>
    </w:p>
    <w:p w:rsidR="00C07D7B" w:rsidRPr="00AF181E" w:rsidRDefault="00C07D7B" w:rsidP="00C07D7B">
      <w:pPr>
        <w:pStyle w:val="Default"/>
        <w:jc w:val="both"/>
        <w:rPr>
          <w:rFonts w:asciiTheme="minorHAnsi" w:hAnsiTheme="minorHAnsi" w:cs="Garamond"/>
          <w:sz w:val="23"/>
          <w:szCs w:val="23"/>
          <w:lang w:val="en-US"/>
        </w:rPr>
      </w:pPr>
    </w:p>
    <w:p w:rsidR="00C07D7B" w:rsidRPr="00AF181E" w:rsidRDefault="00C07D7B" w:rsidP="00C07D7B">
      <w:pPr>
        <w:pStyle w:val="Default"/>
        <w:jc w:val="both"/>
        <w:rPr>
          <w:rFonts w:asciiTheme="minorHAnsi" w:hAnsiTheme="minorHAnsi" w:cs="Garamond"/>
          <w:sz w:val="23"/>
          <w:szCs w:val="23"/>
          <w:lang w:val="en-US"/>
        </w:rPr>
      </w:pPr>
      <w:r w:rsidRPr="00AF181E">
        <w:rPr>
          <w:rFonts w:asciiTheme="minorHAnsi" w:hAnsiTheme="minorHAnsi" w:cs="Garamond"/>
          <w:sz w:val="23"/>
          <w:szCs w:val="23"/>
          <w:lang w:val="en-US"/>
        </w:rPr>
        <w:t xml:space="preserve">The above </w:t>
      </w:r>
      <w:r w:rsidR="00C80A6C" w:rsidRPr="00AF181E">
        <w:rPr>
          <w:rFonts w:asciiTheme="minorHAnsi" w:hAnsiTheme="minorHAnsi" w:cs="Garamond"/>
          <w:sz w:val="23"/>
          <w:szCs w:val="23"/>
          <w:lang w:val="en-US"/>
        </w:rPr>
        <w:t>licen</w:t>
      </w:r>
      <w:r w:rsidR="000D50C1">
        <w:rPr>
          <w:rFonts w:asciiTheme="minorHAnsi" w:hAnsiTheme="minorHAnsi" w:cs="Garamond"/>
          <w:sz w:val="23"/>
          <w:szCs w:val="23"/>
          <w:lang w:val="en-US"/>
        </w:rPr>
        <w:t>c</w:t>
      </w:r>
      <w:r w:rsidR="00C80A6C" w:rsidRPr="00AF181E">
        <w:rPr>
          <w:rFonts w:asciiTheme="minorHAnsi" w:hAnsiTheme="minorHAnsi" w:cs="Garamond"/>
          <w:sz w:val="23"/>
          <w:szCs w:val="23"/>
          <w:lang w:val="en-US"/>
        </w:rPr>
        <w:t>e</w:t>
      </w:r>
      <w:r w:rsidRPr="00AF181E">
        <w:rPr>
          <w:rFonts w:asciiTheme="minorHAnsi" w:hAnsiTheme="minorHAnsi" w:cs="Garamond"/>
          <w:sz w:val="23"/>
          <w:szCs w:val="23"/>
          <w:lang w:val="en-US"/>
        </w:rPr>
        <w:t xml:space="preserve"> </w:t>
      </w:r>
      <w:r w:rsidR="000D50C1">
        <w:rPr>
          <w:rFonts w:asciiTheme="minorHAnsi" w:hAnsiTheme="minorHAnsi" w:cs="Garamond"/>
          <w:sz w:val="23"/>
          <w:szCs w:val="23"/>
          <w:lang w:val="en-US"/>
        </w:rPr>
        <w:t xml:space="preserve">and </w:t>
      </w:r>
      <w:r w:rsidRPr="00AF181E">
        <w:rPr>
          <w:rFonts w:asciiTheme="minorHAnsi" w:hAnsiTheme="minorHAnsi" w:cs="Garamond"/>
          <w:sz w:val="23"/>
          <w:szCs w:val="23"/>
          <w:lang w:val="en-US"/>
        </w:rPr>
        <w:t>IA conditions therefore ensure that the Authority has the power to enforce the Bidding Code of Practice.</w:t>
      </w:r>
    </w:p>
    <w:p w:rsidR="00C80A6C" w:rsidRPr="00EE3E31" w:rsidRDefault="00EE3E31" w:rsidP="00A11FC1">
      <w:pPr>
        <w:pStyle w:val="Default"/>
        <w:jc w:val="both"/>
        <w:rPr>
          <w:rFonts w:asciiTheme="minorHAnsi" w:hAnsiTheme="minorHAnsi" w:cs="Garamond"/>
          <w:b/>
          <w:lang w:val="en-US"/>
        </w:rPr>
      </w:pPr>
      <w:r w:rsidRPr="00EE3E31">
        <w:rPr>
          <w:rFonts w:asciiTheme="minorHAnsi" w:hAnsiTheme="minorHAnsi" w:cs="Garamond"/>
          <w:b/>
          <w:lang w:val="en-US"/>
        </w:rPr>
        <w:lastRenderedPageBreak/>
        <w:t>3.3.2</w:t>
      </w:r>
      <w:r>
        <w:rPr>
          <w:rFonts w:asciiTheme="minorHAnsi" w:hAnsiTheme="minorHAnsi" w:cs="Garamond"/>
          <w:b/>
          <w:lang w:val="en-US"/>
        </w:rPr>
        <w:tab/>
      </w:r>
      <w:r w:rsidRPr="00EE3E31">
        <w:rPr>
          <w:rFonts w:asciiTheme="minorHAnsi" w:hAnsiTheme="minorHAnsi" w:cs="Garamond"/>
          <w:b/>
          <w:lang w:val="en-US"/>
        </w:rPr>
        <w:t xml:space="preserve"> </w:t>
      </w:r>
      <w:r w:rsidR="00C80A6C" w:rsidRPr="00EE3E31">
        <w:rPr>
          <w:rFonts w:asciiTheme="minorHAnsi" w:hAnsiTheme="minorHAnsi" w:cs="Garamond"/>
          <w:b/>
          <w:lang w:val="en-US"/>
        </w:rPr>
        <w:t>Market Monitoring Unit</w:t>
      </w:r>
    </w:p>
    <w:p w:rsidR="00C80A6C" w:rsidRPr="00AF181E" w:rsidRDefault="00C80A6C" w:rsidP="00A11FC1">
      <w:pPr>
        <w:pStyle w:val="Default"/>
        <w:jc w:val="both"/>
        <w:rPr>
          <w:rFonts w:asciiTheme="minorHAnsi" w:hAnsiTheme="minorHAnsi" w:cs="Garamond"/>
          <w:b/>
          <w:sz w:val="23"/>
          <w:szCs w:val="23"/>
          <w:lang w:val="en-US"/>
        </w:rPr>
      </w:pPr>
    </w:p>
    <w:p w:rsidR="00C80A6C" w:rsidRPr="00AF181E" w:rsidRDefault="00C80A6C" w:rsidP="00A11FC1">
      <w:pPr>
        <w:pStyle w:val="Default"/>
        <w:jc w:val="both"/>
        <w:rPr>
          <w:rFonts w:asciiTheme="minorHAnsi" w:hAnsiTheme="minorHAnsi" w:cs="Garamond"/>
          <w:sz w:val="23"/>
          <w:szCs w:val="23"/>
          <w:lang w:val="en-US"/>
        </w:rPr>
      </w:pPr>
      <w:r w:rsidRPr="00AF181E">
        <w:rPr>
          <w:rFonts w:asciiTheme="minorHAnsi" w:hAnsiTheme="minorHAnsi" w:cs="Garamond"/>
          <w:sz w:val="23"/>
          <w:szCs w:val="23"/>
          <w:lang w:val="en-US"/>
        </w:rPr>
        <w:t>The MMU also plays an important role in ensuring that generators adhere to the Bidding Code of Practice and has the authority to conduct investigations into potential market abuse. Since the start of the SEM the MMU has conducted a number of investigations on behalf of the SEM Committee and AES understands that the MMU currently conducts three to four investigations each month indicating that it is actively carrying out its duties. As a result of these investigati</w:t>
      </w:r>
      <w:r w:rsidR="007307BF">
        <w:rPr>
          <w:rFonts w:asciiTheme="minorHAnsi" w:hAnsiTheme="minorHAnsi" w:cs="Garamond"/>
          <w:sz w:val="23"/>
          <w:szCs w:val="23"/>
          <w:lang w:val="en-US"/>
        </w:rPr>
        <w:t xml:space="preserve">ons the RAs have issued </w:t>
      </w:r>
      <w:r w:rsidR="00A01C78">
        <w:rPr>
          <w:rFonts w:asciiTheme="minorHAnsi" w:hAnsiTheme="minorHAnsi" w:cs="Garamond"/>
          <w:sz w:val="23"/>
          <w:szCs w:val="23"/>
          <w:lang w:val="en-US"/>
        </w:rPr>
        <w:t xml:space="preserve">various </w:t>
      </w:r>
      <w:r w:rsidR="00896653">
        <w:rPr>
          <w:rFonts w:asciiTheme="minorHAnsi" w:hAnsiTheme="minorHAnsi" w:cs="Garamond"/>
          <w:sz w:val="23"/>
          <w:szCs w:val="23"/>
          <w:lang w:val="en-US"/>
        </w:rPr>
        <w:t xml:space="preserve">pieces of </w:t>
      </w:r>
      <w:r w:rsidRPr="00AF181E">
        <w:rPr>
          <w:rFonts w:asciiTheme="minorHAnsi" w:hAnsiTheme="minorHAnsi" w:cs="Garamond"/>
          <w:sz w:val="23"/>
          <w:szCs w:val="23"/>
          <w:lang w:val="en-US"/>
        </w:rPr>
        <w:t>guidance on what costs can or cannot be included within Commerical Offer Data.</w:t>
      </w:r>
    </w:p>
    <w:p w:rsidR="00345363" w:rsidRPr="00AF181E" w:rsidRDefault="00345363" w:rsidP="004E3F49">
      <w:pPr>
        <w:pStyle w:val="Default"/>
        <w:jc w:val="both"/>
        <w:rPr>
          <w:rFonts w:asciiTheme="minorHAnsi" w:hAnsiTheme="minorHAnsi"/>
          <w:sz w:val="23"/>
          <w:szCs w:val="23"/>
        </w:rPr>
      </w:pPr>
    </w:p>
    <w:p w:rsidR="00020450" w:rsidRDefault="00020450" w:rsidP="004E3F49">
      <w:pPr>
        <w:pStyle w:val="Default"/>
        <w:jc w:val="both"/>
        <w:rPr>
          <w:rFonts w:asciiTheme="minorHAnsi" w:hAnsiTheme="minorHAnsi"/>
          <w:sz w:val="23"/>
          <w:szCs w:val="23"/>
        </w:rPr>
      </w:pPr>
      <w:r w:rsidRPr="00AF181E">
        <w:rPr>
          <w:rFonts w:asciiTheme="minorHAnsi" w:hAnsiTheme="minorHAnsi"/>
          <w:sz w:val="23"/>
          <w:szCs w:val="23"/>
        </w:rPr>
        <w:t>It is worth noting that in 2008 the SEM Committee investigated complaints that the Commercial Offer Data submitted by some participants was not in compliance with the Bidding Code of Practice. The complaints were not that participants were trying to keep SMP high but rather that the bids were keeping SMP artificially low.</w:t>
      </w:r>
    </w:p>
    <w:p w:rsidR="00896653" w:rsidRDefault="00896653" w:rsidP="004E3F49">
      <w:pPr>
        <w:pStyle w:val="Default"/>
        <w:jc w:val="both"/>
        <w:rPr>
          <w:rFonts w:asciiTheme="minorHAnsi" w:hAnsiTheme="minorHAnsi"/>
          <w:sz w:val="23"/>
          <w:szCs w:val="23"/>
        </w:rPr>
      </w:pPr>
    </w:p>
    <w:p w:rsidR="00896653" w:rsidRPr="00AF181E" w:rsidRDefault="00896653" w:rsidP="004E3F49">
      <w:pPr>
        <w:pStyle w:val="Default"/>
        <w:jc w:val="both"/>
        <w:rPr>
          <w:rFonts w:asciiTheme="minorHAnsi" w:hAnsiTheme="minorHAnsi"/>
          <w:sz w:val="23"/>
          <w:szCs w:val="23"/>
        </w:rPr>
      </w:pPr>
      <w:r>
        <w:rPr>
          <w:rFonts w:asciiTheme="minorHAnsi" w:hAnsiTheme="minorHAnsi"/>
          <w:sz w:val="23"/>
          <w:szCs w:val="23"/>
        </w:rPr>
        <w:t xml:space="preserve">In addition we note that, given the highly transparent nature of the SEM, there is a high degree of ‘peer </w:t>
      </w:r>
      <w:r w:rsidR="007307BF">
        <w:rPr>
          <w:rFonts w:asciiTheme="minorHAnsi" w:hAnsiTheme="minorHAnsi"/>
          <w:sz w:val="23"/>
          <w:szCs w:val="23"/>
        </w:rPr>
        <w:t>review</w:t>
      </w:r>
      <w:r>
        <w:rPr>
          <w:rFonts w:asciiTheme="minorHAnsi" w:hAnsiTheme="minorHAnsi"/>
          <w:sz w:val="23"/>
          <w:szCs w:val="23"/>
        </w:rPr>
        <w:t>’ within the market as Participants can monitor the behaviour of other Participants and raise concerns with the MMU.</w:t>
      </w:r>
    </w:p>
    <w:p w:rsidR="00020450" w:rsidRPr="00AF181E" w:rsidRDefault="00020450" w:rsidP="004E3F49">
      <w:pPr>
        <w:pStyle w:val="Default"/>
        <w:jc w:val="both"/>
        <w:rPr>
          <w:rFonts w:asciiTheme="minorHAnsi" w:hAnsiTheme="minorHAnsi"/>
          <w:sz w:val="23"/>
          <w:szCs w:val="23"/>
        </w:rPr>
      </w:pPr>
    </w:p>
    <w:p w:rsidR="00426F38" w:rsidRPr="00EE3E31" w:rsidRDefault="00EE3E31" w:rsidP="004E3F49">
      <w:pPr>
        <w:pStyle w:val="Default"/>
        <w:jc w:val="both"/>
        <w:rPr>
          <w:rFonts w:asciiTheme="minorHAnsi" w:hAnsiTheme="minorHAnsi"/>
          <w:b/>
        </w:rPr>
      </w:pPr>
      <w:r w:rsidRPr="00EE3E31">
        <w:rPr>
          <w:rFonts w:asciiTheme="minorHAnsi" w:hAnsiTheme="minorHAnsi"/>
          <w:b/>
        </w:rPr>
        <w:t xml:space="preserve">3.3.3 </w:t>
      </w:r>
      <w:r>
        <w:rPr>
          <w:rFonts w:asciiTheme="minorHAnsi" w:hAnsiTheme="minorHAnsi"/>
          <w:b/>
        </w:rPr>
        <w:tab/>
      </w:r>
      <w:r w:rsidR="00426F38" w:rsidRPr="00EE3E31">
        <w:rPr>
          <w:rFonts w:asciiTheme="minorHAnsi" w:hAnsiTheme="minorHAnsi"/>
          <w:b/>
        </w:rPr>
        <w:t>Local Market Power Controls</w:t>
      </w:r>
    </w:p>
    <w:p w:rsidR="00426F38" w:rsidRPr="00AF181E" w:rsidRDefault="00426F38" w:rsidP="004E3F49">
      <w:pPr>
        <w:pStyle w:val="Default"/>
        <w:jc w:val="both"/>
        <w:rPr>
          <w:rFonts w:asciiTheme="minorHAnsi" w:hAnsiTheme="minorHAnsi"/>
          <w:b/>
          <w:sz w:val="23"/>
          <w:szCs w:val="23"/>
        </w:rPr>
      </w:pPr>
    </w:p>
    <w:p w:rsidR="00E72246" w:rsidRPr="00AF181E" w:rsidRDefault="00426F38" w:rsidP="004E3F49">
      <w:pPr>
        <w:pStyle w:val="Default"/>
        <w:jc w:val="both"/>
        <w:rPr>
          <w:rFonts w:asciiTheme="minorHAnsi" w:hAnsiTheme="minorHAnsi"/>
          <w:sz w:val="23"/>
          <w:szCs w:val="23"/>
        </w:rPr>
      </w:pPr>
      <w:r w:rsidRPr="00AF181E">
        <w:rPr>
          <w:rFonts w:asciiTheme="minorHAnsi" w:hAnsiTheme="minorHAnsi"/>
          <w:sz w:val="23"/>
          <w:szCs w:val="23"/>
        </w:rPr>
        <w:t>Section 5.5 of the 2006 Market Power Mitigation in the SEM Decision Paper (AIP/SEM/31/06) outlines the local market power controls available to the RAs. Section 5.5 states that</w:t>
      </w:r>
    </w:p>
    <w:p w:rsidR="00426F38" w:rsidRPr="00AF181E" w:rsidRDefault="00426F38" w:rsidP="004E3F49">
      <w:pPr>
        <w:pStyle w:val="Default"/>
        <w:jc w:val="both"/>
        <w:rPr>
          <w:rFonts w:asciiTheme="minorHAnsi" w:hAnsiTheme="minorHAnsi"/>
          <w:sz w:val="23"/>
          <w:szCs w:val="23"/>
        </w:rPr>
      </w:pPr>
      <w:r w:rsidRPr="00AF181E">
        <w:rPr>
          <w:rFonts w:asciiTheme="minorHAnsi" w:hAnsiTheme="minorHAnsi"/>
          <w:sz w:val="23"/>
          <w:szCs w:val="23"/>
        </w:rPr>
        <w:t xml:space="preserve"> </w:t>
      </w:r>
    </w:p>
    <w:p w:rsidR="00E72246" w:rsidRPr="00AF181E" w:rsidRDefault="00E72246" w:rsidP="00896653">
      <w:pPr>
        <w:autoSpaceDE w:val="0"/>
        <w:autoSpaceDN w:val="0"/>
        <w:adjustRightInd w:val="0"/>
        <w:spacing w:after="240" w:line="240" w:lineRule="auto"/>
        <w:ind w:left="720" w:right="720"/>
        <w:jc w:val="both"/>
        <w:rPr>
          <w:rFonts w:cs="Arial"/>
          <w:color w:val="000000"/>
          <w:sz w:val="23"/>
          <w:szCs w:val="23"/>
          <w:lang w:val="en-US"/>
        </w:rPr>
      </w:pPr>
      <w:r w:rsidRPr="00AF181E">
        <w:rPr>
          <w:rFonts w:cs="Arial"/>
          <w:color w:val="000000"/>
          <w:sz w:val="23"/>
          <w:szCs w:val="23"/>
          <w:lang w:val="en-US"/>
        </w:rPr>
        <w:t>“The RAs will implement a three strand strategy for the control of local market power. First, there is a dependence on the monitoring of bidding principles. If these are successful, then nothing more is needed. Second, where the administration of these principles becomes burdensome, either because the number of inquiries is excessive or the issues in particular inquiries become intractable, the RAs will seek through the imposition of targeted capping of constraint payments to limit the scope for the presumed exercise of local market power to levels which send strong signals that changes are needed without excessively enriching the player with market power. Third, should those capped levels be intolerable to the generator with local market power, full Reliability Must-Run (RMR) treatment becomes the third, and final, fall-back position.”</w:t>
      </w:r>
    </w:p>
    <w:p w:rsidR="00E72246" w:rsidRPr="00AF181E" w:rsidRDefault="00E72246" w:rsidP="00E72246">
      <w:pPr>
        <w:autoSpaceDE w:val="0"/>
        <w:autoSpaceDN w:val="0"/>
        <w:adjustRightInd w:val="0"/>
        <w:spacing w:after="240" w:line="240" w:lineRule="auto"/>
        <w:jc w:val="both"/>
        <w:rPr>
          <w:rFonts w:cs="Arial"/>
          <w:color w:val="000000"/>
          <w:sz w:val="23"/>
          <w:szCs w:val="23"/>
          <w:lang w:val="en-US"/>
        </w:rPr>
      </w:pPr>
      <w:r w:rsidRPr="00AF181E">
        <w:rPr>
          <w:rFonts w:cs="Arial"/>
          <w:color w:val="000000"/>
          <w:sz w:val="23"/>
          <w:szCs w:val="23"/>
          <w:lang w:val="en-US"/>
        </w:rPr>
        <w:t>The above provisions therefore permit the RAs to either</w:t>
      </w:r>
      <w:r w:rsidR="00D21120" w:rsidRPr="00AF181E">
        <w:rPr>
          <w:rFonts w:cs="Arial"/>
          <w:color w:val="000000"/>
          <w:sz w:val="23"/>
          <w:szCs w:val="23"/>
          <w:lang w:val="en-US"/>
        </w:rPr>
        <w:t xml:space="preserve"> cap constraint payments to generators or ultimately </w:t>
      </w:r>
      <w:r w:rsidR="00181FFC" w:rsidRPr="00AF181E">
        <w:rPr>
          <w:rFonts w:cs="Arial"/>
          <w:color w:val="000000"/>
          <w:sz w:val="23"/>
          <w:szCs w:val="23"/>
          <w:lang w:val="en-US"/>
        </w:rPr>
        <w:t>direct</w:t>
      </w:r>
      <w:r w:rsidR="00D21120" w:rsidRPr="00AF181E">
        <w:rPr>
          <w:rFonts w:cs="Arial"/>
          <w:color w:val="000000"/>
          <w:sz w:val="23"/>
          <w:szCs w:val="23"/>
          <w:lang w:val="en-US"/>
        </w:rPr>
        <w:t xml:space="preserve"> the generator to enter into Reliability Must-Run contracts which require the generator to open its books and be compensated outside of the SEM. As far as AES is aware the RAs have not </w:t>
      </w:r>
      <w:r w:rsidR="001F6B4A" w:rsidRPr="00AF181E">
        <w:rPr>
          <w:rFonts w:cs="Arial"/>
          <w:color w:val="000000"/>
          <w:sz w:val="23"/>
          <w:szCs w:val="23"/>
          <w:lang w:val="en-US"/>
        </w:rPr>
        <w:t>i</w:t>
      </w:r>
      <w:r w:rsidR="00D21120" w:rsidRPr="00AF181E">
        <w:rPr>
          <w:rFonts w:cs="Arial"/>
          <w:color w:val="000000"/>
          <w:sz w:val="23"/>
          <w:szCs w:val="23"/>
          <w:lang w:val="en-US"/>
        </w:rPr>
        <w:t>mplement</w:t>
      </w:r>
      <w:r w:rsidR="001F6B4A" w:rsidRPr="00AF181E">
        <w:rPr>
          <w:rFonts w:cs="Arial"/>
          <w:color w:val="000000"/>
          <w:sz w:val="23"/>
          <w:szCs w:val="23"/>
          <w:lang w:val="en-US"/>
        </w:rPr>
        <w:t>ed any local market power controls presumably on the basis that the Bidding Code of Practice and MMU have been effective in preventing market abuse.</w:t>
      </w:r>
    </w:p>
    <w:p w:rsidR="00426F38" w:rsidRPr="00EE3E31" w:rsidRDefault="00EE3E31" w:rsidP="004E3F49">
      <w:pPr>
        <w:pStyle w:val="Default"/>
        <w:jc w:val="both"/>
        <w:rPr>
          <w:rFonts w:asciiTheme="minorHAnsi" w:hAnsiTheme="minorHAnsi"/>
          <w:b/>
        </w:rPr>
      </w:pPr>
      <w:r w:rsidRPr="00EE3E31">
        <w:rPr>
          <w:rFonts w:asciiTheme="minorHAnsi" w:hAnsiTheme="minorHAnsi"/>
          <w:b/>
        </w:rPr>
        <w:t>3.3.4</w:t>
      </w:r>
      <w:r>
        <w:rPr>
          <w:rFonts w:asciiTheme="minorHAnsi" w:hAnsiTheme="minorHAnsi"/>
          <w:b/>
        </w:rPr>
        <w:tab/>
      </w:r>
      <w:r w:rsidRPr="00EE3E31">
        <w:rPr>
          <w:rFonts w:asciiTheme="minorHAnsi" w:hAnsiTheme="minorHAnsi"/>
          <w:b/>
        </w:rPr>
        <w:t xml:space="preserve"> </w:t>
      </w:r>
      <w:r w:rsidR="001F6B4A" w:rsidRPr="00EE3E31">
        <w:rPr>
          <w:rFonts w:asciiTheme="minorHAnsi" w:hAnsiTheme="minorHAnsi"/>
          <w:b/>
        </w:rPr>
        <w:t>Directed Contracts</w:t>
      </w:r>
    </w:p>
    <w:p w:rsidR="00D24931" w:rsidRPr="00AF181E" w:rsidRDefault="00D24931" w:rsidP="004E3F49">
      <w:pPr>
        <w:pStyle w:val="Default"/>
        <w:jc w:val="both"/>
        <w:rPr>
          <w:rFonts w:asciiTheme="minorHAnsi" w:hAnsiTheme="minorHAnsi"/>
          <w:b/>
          <w:sz w:val="23"/>
          <w:szCs w:val="23"/>
        </w:rPr>
      </w:pPr>
    </w:p>
    <w:p w:rsidR="00ED65E7" w:rsidRPr="00AF181E" w:rsidRDefault="00445B6B" w:rsidP="004E3F49">
      <w:pPr>
        <w:pStyle w:val="Default"/>
        <w:jc w:val="both"/>
        <w:rPr>
          <w:rFonts w:asciiTheme="minorHAnsi" w:hAnsiTheme="minorHAnsi"/>
          <w:sz w:val="23"/>
          <w:szCs w:val="23"/>
        </w:rPr>
      </w:pPr>
      <w:r w:rsidRPr="00AF181E">
        <w:rPr>
          <w:rFonts w:asciiTheme="minorHAnsi" w:hAnsiTheme="minorHAnsi"/>
          <w:sz w:val="23"/>
          <w:szCs w:val="23"/>
        </w:rPr>
        <w:t xml:space="preserve">One of the key pillars of the SEM market power mitigation strategy is the </w:t>
      </w:r>
      <w:r w:rsidR="00A40FB5">
        <w:rPr>
          <w:rFonts w:asciiTheme="minorHAnsi" w:hAnsiTheme="minorHAnsi"/>
          <w:sz w:val="23"/>
          <w:szCs w:val="23"/>
        </w:rPr>
        <w:t>sale</w:t>
      </w:r>
      <w:r w:rsidRPr="00AF181E">
        <w:rPr>
          <w:rFonts w:asciiTheme="minorHAnsi" w:hAnsiTheme="minorHAnsi"/>
          <w:sz w:val="23"/>
          <w:szCs w:val="23"/>
        </w:rPr>
        <w:t xml:space="preserve"> of </w:t>
      </w:r>
      <w:r w:rsidR="00D25BFB" w:rsidRPr="00AF181E">
        <w:rPr>
          <w:rFonts w:asciiTheme="minorHAnsi" w:hAnsiTheme="minorHAnsi"/>
          <w:sz w:val="23"/>
          <w:szCs w:val="23"/>
        </w:rPr>
        <w:t>DCs</w:t>
      </w:r>
      <w:r w:rsidR="00A40FB5" w:rsidRPr="00A40FB5">
        <w:rPr>
          <w:rFonts w:asciiTheme="minorHAnsi" w:hAnsiTheme="minorHAnsi"/>
          <w:sz w:val="23"/>
          <w:szCs w:val="23"/>
        </w:rPr>
        <w:t xml:space="preserve"> </w:t>
      </w:r>
      <w:r w:rsidR="00A40FB5">
        <w:rPr>
          <w:rFonts w:asciiTheme="minorHAnsi" w:hAnsiTheme="minorHAnsi"/>
          <w:sz w:val="23"/>
          <w:szCs w:val="23"/>
        </w:rPr>
        <w:t>by the incumbent generators (ESB PG and NIEE PPB)</w:t>
      </w:r>
      <w:r w:rsidRPr="00AF181E">
        <w:rPr>
          <w:rFonts w:asciiTheme="minorHAnsi" w:hAnsiTheme="minorHAnsi"/>
          <w:sz w:val="23"/>
          <w:szCs w:val="23"/>
        </w:rPr>
        <w:t>. Since the start of SEM the RAs have used an HHI market concentration level of 1,150</w:t>
      </w:r>
      <w:r w:rsidR="00380232" w:rsidRPr="00AF181E">
        <w:rPr>
          <w:rFonts w:asciiTheme="minorHAnsi" w:hAnsiTheme="minorHAnsi"/>
          <w:sz w:val="23"/>
          <w:szCs w:val="23"/>
        </w:rPr>
        <w:t xml:space="preserve"> to set the level of DCs</w:t>
      </w:r>
      <w:r w:rsidR="00D25BFB" w:rsidRPr="00AF181E">
        <w:rPr>
          <w:rFonts w:asciiTheme="minorHAnsi" w:hAnsiTheme="minorHAnsi"/>
          <w:sz w:val="23"/>
          <w:szCs w:val="23"/>
        </w:rPr>
        <w:t>. At this threshold ESB PG has consistently had to sell DCs, albeit at a decreasing quantity.  NIEE</w:t>
      </w:r>
      <w:r w:rsidR="00A40FB5">
        <w:rPr>
          <w:rFonts w:asciiTheme="minorHAnsi" w:hAnsiTheme="minorHAnsi"/>
          <w:sz w:val="23"/>
          <w:szCs w:val="23"/>
        </w:rPr>
        <w:t xml:space="preserve"> PPB</w:t>
      </w:r>
      <w:r w:rsidR="00D25BFB" w:rsidRPr="00AF181E">
        <w:rPr>
          <w:rFonts w:asciiTheme="minorHAnsi" w:hAnsiTheme="minorHAnsi"/>
          <w:sz w:val="23"/>
          <w:szCs w:val="23"/>
        </w:rPr>
        <w:t xml:space="preserve"> has only been required to sell </w:t>
      </w:r>
      <w:r w:rsidR="00A40FB5">
        <w:rPr>
          <w:rFonts w:asciiTheme="minorHAnsi" w:hAnsiTheme="minorHAnsi"/>
          <w:sz w:val="23"/>
          <w:szCs w:val="23"/>
        </w:rPr>
        <w:t xml:space="preserve">a modest </w:t>
      </w:r>
      <w:r w:rsidR="004B1047">
        <w:rPr>
          <w:rFonts w:asciiTheme="minorHAnsi" w:hAnsiTheme="minorHAnsi"/>
          <w:sz w:val="23"/>
          <w:szCs w:val="23"/>
        </w:rPr>
        <w:t xml:space="preserve">quantity </w:t>
      </w:r>
      <w:r w:rsidR="00A40FB5">
        <w:rPr>
          <w:rFonts w:asciiTheme="minorHAnsi" w:hAnsiTheme="minorHAnsi"/>
          <w:sz w:val="23"/>
          <w:szCs w:val="23"/>
        </w:rPr>
        <w:t xml:space="preserve">of mid-merit </w:t>
      </w:r>
      <w:r w:rsidR="00D25BFB" w:rsidRPr="00AF181E">
        <w:rPr>
          <w:rFonts w:asciiTheme="minorHAnsi" w:hAnsiTheme="minorHAnsi"/>
          <w:sz w:val="23"/>
          <w:szCs w:val="23"/>
        </w:rPr>
        <w:t xml:space="preserve">DCs for the latter two quarters of 2009. </w:t>
      </w:r>
    </w:p>
    <w:p w:rsidR="00D25BFB" w:rsidRPr="00AF181E" w:rsidRDefault="00D25BFB" w:rsidP="004E3F49">
      <w:pPr>
        <w:pStyle w:val="Default"/>
        <w:jc w:val="both"/>
        <w:rPr>
          <w:rFonts w:asciiTheme="minorHAnsi" w:hAnsiTheme="minorHAnsi"/>
          <w:sz w:val="23"/>
          <w:szCs w:val="23"/>
        </w:rPr>
      </w:pPr>
    </w:p>
    <w:p w:rsidR="00D25BFB" w:rsidRPr="00AF181E" w:rsidRDefault="00D25BFB" w:rsidP="004E3F49">
      <w:pPr>
        <w:pStyle w:val="Default"/>
        <w:jc w:val="both"/>
        <w:rPr>
          <w:rFonts w:asciiTheme="minorHAnsi" w:hAnsiTheme="minorHAnsi"/>
          <w:sz w:val="23"/>
          <w:szCs w:val="23"/>
        </w:rPr>
      </w:pPr>
      <w:r w:rsidRPr="00AF181E">
        <w:rPr>
          <w:rFonts w:asciiTheme="minorHAnsi" w:hAnsiTheme="minorHAnsi"/>
          <w:sz w:val="23"/>
          <w:szCs w:val="23"/>
        </w:rPr>
        <w:lastRenderedPageBreak/>
        <w:t xml:space="preserve">The Consultation Paper states that the RAs are minded to amend the </w:t>
      </w:r>
      <w:r w:rsidR="004B1047">
        <w:rPr>
          <w:rFonts w:asciiTheme="minorHAnsi" w:hAnsiTheme="minorHAnsi"/>
          <w:sz w:val="23"/>
          <w:szCs w:val="23"/>
        </w:rPr>
        <w:t>AES KPL</w:t>
      </w:r>
      <w:r w:rsidRPr="00AF181E">
        <w:rPr>
          <w:rFonts w:asciiTheme="minorHAnsi" w:hAnsiTheme="minorHAnsi"/>
          <w:sz w:val="23"/>
          <w:szCs w:val="23"/>
        </w:rPr>
        <w:t xml:space="preserve"> and </w:t>
      </w:r>
      <w:r w:rsidR="004B1047">
        <w:rPr>
          <w:rFonts w:asciiTheme="minorHAnsi" w:hAnsiTheme="minorHAnsi"/>
          <w:sz w:val="23"/>
          <w:szCs w:val="23"/>
        </w:rPr>
        <w:t>AES BL</w:t>
      </w:r>
      <w:r w:rsidR="000C005F" w:rsidRPr="00AF181E">
        <w:rPr>
          <w:rFonts w:asciiTheme="minorHAnsi" w:hAnsiTheme="minorHAnsi"/>
          <w:sz w:val="23"/>
          <w:szCs w:val="23"/>
        </w:rPr>
        <w:t xml:space="preserve"> </w:t>
      </w:r>
      <w:r w:rsidR="00EE3A55">
        <w:rPr>
          <w:rFonts w:asciiTheme="minorHAnsi" w:hAnsiTheme="minorHAnsi"/>
          <w:sz w:val="23"/>
          <w:szCs w:val="23"/>
        </w:rPr>
        <w:t>G</w:t>
      </w:r>
      <w:r w:rsidR="000C005F" w:rsidRPr="00AF181E">
        <w:rPr>
          <w:rFonts w:asciiTheme="minorHAnsi" w:hAnsiTheme="minorHAnsi"/>
          <w:sz w:val="23"/>
          <w:szCs w:val="23"/>
        </w:rPr>
        <w:t>eneration</w:t>
      </w:r>
      <w:r w:rsidRPr="00AF181E">
        <w:rPr>
          <w:rFonts w:asciiTheme="minorHAnsi" w:hAnsiTheme="minorHAnsi"/>
          <w:sz w:val="23"/>
          <w:szCs w:val="23"/>
        </w:rPr>
        <w:t xml:space="preserve"> </w:t>
      </w:r>
      <w:r w:rsidR="00EE3A55">
        <w:rPr>
          <w:rFonts w:asciiTheme="minorHAnsi" w:hAnsiTheme="minorHAnsi"/>
          <w:sz w:val="23"/>
          <w:szCs w:val="23"/>
        </w:rPr>
        <w:t>L</w:t>
      </w:r>
      <w:r w:rsidRPr="00AF181E">
        <w:rPr>
          <w:rFonts w:asciiTheme="minorHAnsi" w:hAnsiTheme="minorHAnsi"/>
          <w:sz w:val="23"/>
          <w:szCs w:val="23"/>
        </w:rPr>
        <w:t xml:space="preserve">icences to include a similar Condition to that contained within the ESB and NIEE licences. </w:t>
      </w:r>
      <w:r w:rsidR="00380232" w:rsidRPr="00AF181E">
        <w:rPr>
          <w:rFonts w:asciiTheme="minorHAnsi" w:hAnsiTheme="minorHAnsi"/>
          <w:sz w:val="23"/>
          <w:szCs w:val="23"/>
        </w:rPr>
        <w:t>AES disagrees with this proposal for the following reasons:</w:t>
      </w:r>
    </w:p>
    <w:p w:rsidR="00380232" w:rsidRPr="00AF181E" w:rsidRDefault="00380232" w:rsidP="004E3F49">
      <w:pPr>
        <w:pStyle w:val="Default"/>
        <w:jc w:val="both"/>
        <w:rPr>
          <w:rFonts w:asciiTheme="minorHAnsi" w:hAnsiTheme="minorHAnsi"/>
          <w:sz w:val="23"/>
          <w:szCs w:val="23"/>
        </w:rPr>
      </w:pPr>
    </w:p>
    <w:p w:rsidR="00380232" w:rsidRPr="00AF181E" w:rsidRDefault="00956E1B" w:rsidP="00CF0FD9">
      <w:pPr>
        <w:pStyle w:val="ListParagraph"/>
        <w:numPr>
          <w:ilvl w:val="0"/>
          <w:numId w:val="12"/>
        </w:numPr>
        <w:autoSpaceDE w:val="0"/>
        <w:autoSpaceDN w:val="0"/>
        <w:adjustRightInd w:val="0"/>
        <w:jc w:val="both"/>
        <w:rPr>
          <w:rFonts w:asciiTheme="minorHAnsi" w:hAnsiTheme="minorHAnsi"/>
          <w:sz w:val="23"/>
          <w:szCs w:val="23"/>
        </w:rPr>
      </w:pPr>
      <w:r w:rsidRPr="00AF181E">
        <w:rPr>
          <w:rFonts w:asciiTheme="minorHAnsi" w:hAnsiTheme="minorHAnsi"/>
          <w:sz w:val="23"/>
          <w:szCs w:val="23"/>
        </w:rPr>
        <w:t>T</w:t>
      </w:r>
      <w:r w:rsidR="00380232" w:rsidRPr="00AF181E">
        <w:rPr>
          <w:rFonts w:asciiTheme="minorHAnsi" w:hAnsiTheme="minorHAnsi"/>
          <w:sz w:val="23"/>
          <w:szCs w:val="23"/>
        </w:rPr>
        <w:t>here is no merit for assessing market power by viewing the</w:t>
      </w:r>
      <w:r w:rsidR="00380232" w:rsidRPr="00AF181E">
        <w:rPr>
          <w:rFonts w:asciiTheme="minorHAnsi" w:hAnsiTheme="minorHAnsi" w:cs="Calibri"/>
          <w:sz w:val="23"/>
          <w:szCs w:val="23"/>
        </w:rPr>
        <w:t xml:space="preserve"> Kilroot and Ballylumford units </w:t>
      </w:r>
      <w:r w:rsidR="0002575C" w:rsidRPr="00AF181E">
        <w:rPr>
          <w:rFonts w:asciiTheme="minorHAnsi" w:hAnsiTheme="minorHAnsi" w:cs="Calibri"/>
          <w:sz w:val="23"/>
          <w:szCs w:val="23"/>
        </w:rPr>
        <w:t xml:space="preserve">as a single entity (1,831MW) given that 51% (931 MW) of the capacity is under contract to NIEE </w:t>
      </w:r>
      <w:r w:rsidR="00EE3A55">
        <w:rPr>
          <w:rFonts w:asciiTheme="minorHAnsi" w:hAnsiTheme="minorHAnsi" w:cs="Calibri"/>
          <w:sz w:val="23"/>
          <w:szCs w:val="23"/>
        </w:rPr>
        <w:t xml:space="preserve">PPB </w:t>
      </w:r>
      <w:r w:rsidR="0002575C" w:rsidRPr="00AF181E">
        <w:rPr>
          <w:rFonts w:asciiTheme="minorHAnsi" w:hAnsiTheme="minorHAnsi" w:cs="Calibri"/>
          <w:sz w:val="23"/>
          <w:szCs w:val="23"/>
        </w:rPr>
        <w:t xml:space="preserve">and it is NIEE </w:t>
      </w:r>
      <w:r w:rsidR="004B1047">
        <w:rPr>
          <w:rFonts w:asciiTheme="minorHAnsi" w:hAnsiTheme="minorHAnsi" w:cs="Calibri"/>
          <w:sz w:val="23"/>
          <w:szCs w:val="23"/>
        </w:rPr>
        <w:t xml:space="preserve">PPB </w:t>
      </w:r>
      <w:r w:rsidR="0002575C" w:rsidRPr="00AF181E">
        <w:rPr>
          <w:rFonts w:asciiTheme="minorHAnsi" w:hAnsiTheme="minorHAnsi" w:cs="Calibri"/>
          <w:sz w:val="23"/>
          <w:szCs w:val="23"/>
        </w:rPr>
        <w:t>who constructs the bids and bids these units into the market.</w:t>
      </w:r>
      <w:r w:rsidR="00D56602" w:rsidRPr="00AF181E">
        <w:rPr>
          <w:rFonts w:asciiTheme="minorHAnsi" w:hAnsiTheme="minorHAnsi" w:cs="Calibri"/>
          <w:sz w:val="23"/>
          <w:szCs w:val="23"/>
        </w:rPr>
        <w:t xml:space="preserve"> This is supported by all of the historic DC HHI market concentration calculations which have treated the contracted capacity in Northern Irela</w:t>
      </w:r>
      <w:r w:rsidR="006536DB" w:rsidRPr="00AF181E">
        <w:rPr>
          <w:rFonts w:asciiTheme="minorHAnsi" w:hAnsiTheme="minorHAnsi" w:cs="Calibri"/>
          <w:sz w:val="23"/>
          <w:szCs w:val="23"/>
        </w:rPr>
        <w:t>nd as under the control of NIEE</w:t>
      </w:r>
      <w:r w:rsidR="00EE3A55">
        <w:rPr>
          <w:rFonts w:asciiTheme="minorHAnsi" w:hAnsiTheme="minorHAnsi" w:cs="Calibri"/>
          <w:sz w:val="23"/>
          <w:szCs w:val="23"/>
        </w:rPr>
        <w:t xml:space="preserve"> PPB</w:t>
      </w:r>
      <w:r w:rsidR="006536DB" w:rsidRPr="00AF181E">
        <w:rPr>
          <w:rFonts w:asciiTheme="minorHAnsi" w:hAnsiTheme="minorHAnsi" w:cs="Calibri"/>
          <w:sz w:val="23"/>
          <w:szCs w:val="23"/>
        </w:rPr>
        <w:t>. Further in the</w:t>
      </w:r>
      <w:r w:rsidR="006536DB" w:rsidRPr="00AF181E">
        <w:rPr>
          <w:rFonts w:asciiTheme="minorHAnsi" w:hAnsiTheme="minorHAnsi"/>
          <w:sz w:val="23"/>
          <w:szCs w:val="23"/>
        </w:rPr>
        <w:t xml:space="preserve"> ‘Ownership Groups for the HHI Calculation’ section 3.8 of the 2010 Market Power Mitigation in the SEM Directed Contract Implementation Report </w:t>
      </w:r>
      <w:r w:rsidR="00CF0FD9" w:rsidRPr="00AF181E">
        <w:rPr>
          <w:rFonts w:asciiTheme="minorHAnsi" w:hAnsiTheme="minorHAnsi"/>
          <w:sz w:val="23"/>
          <w:szCs w:val="23"/>
        </w:rPr>
        <w:t>Consultation Paper (</w:t>
      </w:r>
      <w:r w:rsidR="006536DB" w:rsidRPr="00AF181E">
        <w:rPr>
          <w:rFonts w:asciiTheme="minorHAnsi" w:hAnsiTheme="minorHAnsi"/>
          <w:sz w:val="23"/>
          <w:szCs w:val="23"/>
        </w:rPr>
        <w:t>SEM</w:t>
      </w:r>
      <w:r w:rsidR="00CF0FD9" w:rsidRPr="00AF181E">
        <w:rPr>
          <w:rFonts w:asciiTheme="minorHAnsi" w:hAnsiTheme="minorHAnsi"/>
          <w:sz w:val="23"/>
          <w:szCs w:val="23"/>
        </w:rPr>
        <w:t>-10-005</w:t>
      </w:r>
      <w:r w:rsidR="006536DB" w:rsidRPr="00AF181E">
        <w:rPr>
          <w:rFonts w:asciiTheme="minorHAnsi" w:hAnsiTheme="minorHAnsi"/>
          <w:sz w:val="23"/>
          <w:szCs w:val="23"/>
        </w:rPr>
        <w:t>)</w:t>
      </w:r>
      <w:r w:rsidR="00CF0FD9" w:rsidRPr="00AF181E">
        <w:rPr>
          <w:rFonts w:asciiTheme="minorHAnsi" w:hAnsiTheme="minorHAnsi"/>
          <w:sz w:val="23"/>
          <w:szCs w:val="23"/>
        </w:rPr>
        <w:t xml:space="preserve"> the ownership groups for Premier Power and Kilroot are listed as “those units that are not under contract with NIE Energy PPB”.</w:t>
      </w:r>
    </w:p>
    <w:p w:rsidR="0002575C" w:rsidRPr="00AF181E" w:rsidRDefault="0002575C" w:rsidP="00380232">
      <w:pPr>
        <w:pStyle w:val="Default"/>
        <w:jc w:val="both"/>
        <w:rPr>
          <w:rFonts w:asciiTheme="minorHAnsi" w:hAnsiTheme="minorHAnsi" w:cs="Calibri"/>
          <w:sz w:val="23"/>
          <w:szCs w:val="23"/>
          <w:lang w:val="en-US"/>
        </w:rPr>
      </w:pPr>
    </w:p>
    <w:p w:rsidR="00EB3BAD" w:rsidRPr="00AF181E" w:rsidRDefault="0002575C" w:rsidP="00F15E9B">
      <w:pPr>
        <w:pStyle w:val="ListParagraph"/>
        <w:numPr>
          <w:ilvl w:val="0"/>
          <w:numId w:val="12"/>
        </w:numPr>
        <w:autoSpaceDE w:val="0"/>
        <w:autoSpaceDN w:val="0"/>
        <w:adjustRightInd w:val="0"/>
        <w:jc w:val="both"/>
        <w:rPr>
          <w:rFonts w:asciiTheme="minorHAnsi" w:hAnsiTheme="minorHAnsi" w:cs="Calibri"/>
          <w:sz w:val="23"/>
          <w:szCs w:val="23"/>
        </w:rPr>
      </w:pPr>
      <w:r w:rsidRPr="00AF181E">
        <w:rPr>
          <w:rFonts w:asciiTheme="minorHAnsi" w:hAnsiTheme="minorHAnsi" w:cs="Calibri"/>
          <w:sz w:val="23"/>
          <w:szCs w:val="23"/>
        </w:rPr>
        <w:t xml:space="preserve">Prior to cancellation of 476 MW of the Kilroot capacity on 1 November 2010 NIEE </w:t>
      </w:r>
      <w:r w:rsidR="004B1047">
        <w:rPr>
          <w:rFonts w:asciiTheme="minorHAnsi" w:hAnsiTheme="minorHAnsi" w:cs="Calibri"/>
          <w:sz w:val="23"/>
          <w:szCs w:val="23"/>
        </w:rPr>
        <w:t xml:space="preserve">PPB </w:t>
      </w:r>
      <w:r w:rsidR="00EB3BAD" w:rsidRPr="00AF181E">
        <w:rPr>
          <w:rFonts w:asciiTheme="minorHAnsi" w:hAnsiTheme="minorHAnsi" w:cs="Calibri"/>
          <w:sz w:val="23"/>
          <w:szCs w:val="23"/>
        </w:rPr>
        <w:t xml:space="preserve">controlled 1,460 MW of capacity under contract in the SEM which only brought NIEE </w:t>
      </w:r>
      <w:r w:rsidR="004B1047">
        <w:rPr>
          <w:rFonts w:asciiTheme="minorHAnsi" w:hAnsiTheme="minorHAnsi" w:cs="Calibri"/>
          <w:sz w:val="23"/>
          <w:szCs w:val="23"/>
        </w:rPr>
        <w:t xml:space="preserve">PPB </w:t>
      </w:r>
      <w:r w:rsidR="00EB3BAD" w:rsidRPr="00AF181E">
        <w:rPr>
          <w:rFonts w:asciiTheme="minorHAnsi" w:hAnsiTheme="minorHAnsi" w:cs="Calibri"/>
          <w:sz w:val="23"/>
          <w:szCs w:val="23"/>
        </w:rPr>
        <w:t>within the DC threshold for the latter two quarters of 2009</w:t>
      </w:r>
      <w:r w:rsidR="004B1047">
        <w:rPr>
          <w:rFonts w:asciiTheme="minorHAnsi" w:hAnsiTheme="minorHAnsi" w:cs="Calibri"/>
          <w:sz w:val="23"/>
          <w:szCs w:val="23"/>
        </w:rPr>
        <w:t xml:space="preserve"> (and then only for modest quantities of mid-merit products)</w:t>
      </w:r>
      <w:r w:rsidR="00EB3BAD" w:rsidRPr="00AF181E">
        <w:rPr>
          <w:rFonts w:asciiTheme="minorHAnsi" w:hAnsiTheme="minorHAnsi" w:cs="Calibri"/>
          <w:sz w:val="23"/>
          <w:szCs w:val="23"/>
        </w:rPr>
        <w:t>. Given that AES has 900 MW of uncontracted capacity it is impossible to see how AES would fall into the DC threshold</w:t>
      </w:r>
      <w:r w:rsidR="00CF0FD9" w:rsidRPr="00AF181E">
        <w:rPr>
          <w:rFonts w:asciiTheme="minorHAnsi" w:hAnsiTheme="minorHAnsi" w:cs="Calibri"/>
          <w:sz w:val="23"/>
          <w:szCs w:val="23"/>
        </w:rPr>
        <w:t xml:space="preserve"> and even more so given that capacity has increased in the SEM while demand has fallen</w:t>
      </w:r>
      <w:r w:rsidR="00EB3BAD" w:rsidRPr="00AF181E">
        <w:rPr>
          <w:rFonts w:asciiTheme="minorHAnsi" w:hAnsiTheme="minorHAnsi" w:cs="Calibri"/>
          <w:sz w:val="23"/>
          <w:szCs w:val="23"/>
        </w:rPr>
        <w:t>.</w:t>
      </w:r>
    </w:p>
    <w:p w:rsidR="00EB3BAD" w:rsidRPr="00AF181E" w:rsidRDefault="00EB3BAD" w:rsidP="0002575C">
      <w:pPr>
        <w:autoSpaceDE w:val="0"/>
        <w:autoSpaceDN w:val="0"/>
        <w:adjustRightInd w:val="0"/>
        <w:spacing w:after="0" w:line="240" w:lineRule="auto"/>
        <w:jc w:val="both"/>
        <w:rPr>
          <w:rFonts w:cs="Calibri"/>
          <w:sz w:val="23"/>
          <w:szCs w:val="23"/>
          <w:lang w:val="en-US"/>
        </w:rPr>
      </w:pPr>
    </w:p>
    <w:p w:rsidR="00BE5250" w:rsidRPr="00AF181E" w:rsidRDefault="00EB3BAD" w:rsidP="00F15E9B">
      <w:pPr>
        <w:pStyle w:val="ListParagraph"/>
        <w:numPr>
          <w:ilvl w:val="0"/>
          <w:numId w:val="12"/>
        </w:numPr>
        <w:autoSpaceDE w:val="0"/>
        <w:autoSpaceDN w:val="0"/>
        <w:adjustRightInd w:val="0"/>
        <w:jc w:val="both"/>
        <w:rPr>
          <w:rFonts w:asciiTheme="minorHAnsi" w:hAnsiTheme="minorHAnsi" w:cs="Arial"/>
          <w:color w:val="000000"/>
          <w:sz w:val="23"/>
          <w:szCs w:val="23"/>
        </w:rPr>
      </w:pPr>
      <w:r w:rsidRPr="00AF181E">
        <w:rPr>
          <w:rFonts w:asciiTheme="minorHAnsi" w:hAnsiTheme="minorHAnsi" w:cs="Calibri"/>
          <w:sz w:val="23"/>
          <w:szCs w:val="23"/>
        </w:rPr>
        <w:t xml:space="preserve">AES’s potential market power stems from the </w:t>
      </w:r>
      <w:r w:rsidR="00EA04D6" w:rsidRPr="00AF181E">
        <w:rPr>
          <w:rFonts w:asciiTheme="minorHAnsi" w:hAnsiTheme="minorHAnsi" w:cs="Calibri"/>
          <w:sz w:val="23"/>
          <w:szCs w:val="23"/>
        </w:rPr>
        <w:t>constraints in Northern Ireland</w:t>
      </w:r>
      <w:r w:rsidR="00BE5250" w:rsidRPr="00AF181E">
        <w:rPr>
          <w:rFonts w:asciiTheme="minorHAnsi" w:hAnsiTheme="minorHAnsi" w:cs="Calibri"/>
          <w:sz w:val="23"/>
          <w:szCs w:val="23"/>
        </w:rPr>
        <w:t>. As discussed previously the RAs have a number of local market power controls</w:t>
      </w:r>
      <w:r w:rsidR="00BE5250" w:rsidRPr="00AF181E">
        <w:rPr>
          <w:rFonts w:asciiTheme="minorHAnsi" w:hAnsiTheme="minorHAnsi" w:cs="Arial"/>
          <w:color w:val="000000"/>
          <w:sz w:val="23"/>
          <w:szCs w:val="23"/>
        </w:rPr>
        <w:t xml:space="preserve"> (monitoring of bidding principles, capping of constraint payments and Reliability Must-Run contracts)</w:t>
      </w:r>
      <w:r w:rsidR="00581A29">
        <w:rPr>
          <w:rFonts w:asciiTheme="minorHAnsi" w:hAnsiTheme="minorHAnsi" w:cs="Arial"/>
          <w:color w:val="000000"/>
          <w:sz w:val="23"/>
          <w:szCs w:val="23"/>
        </w:rPr>
        <w:t xml:space="preserve"> in addition to the standard market power mitigation measures (Bidding Code of Practice and MMU) and generating licence conditions (Conditions 2, 3, 17 and 18)</w:t>
      </w:r>
      <w:r w:rsidR="00BE5250" w:rsidRPr="00AF181E">
        <w:rPr>
          <w:rFonts w:asciiTheme="minorHAnsi" w:hAnsiTheme="minorHAnsi" w:cs="Arial"/>
          <w:color w:val="000000"/>
          <w:sz w:val="23"/>
          <w:szCs w:val="23"/>
        </w:rPr>
        <w:t xml:space="preserve"> which are more than adequate to prevent market abuse.</w:t>
      </w:r>
    </w:p>
    <w:p w:rsidR="00BE5250" w:rsidRPr="00AF181E" w:rsidRDefault="00BE5250" w:rsidP="0002575C">
      <w:pPr>
        <w:autoSpaceDE w:val="0"/>
        <w:autoSpaceDN w:val="0"/>
        <w:adjustRightInd w:val="0"/>
        <w:spacing w:after="0" w:line="240" w:lineRule="auto"/>
        <w:jc w:val="both"/>
        <w:rPr>
          <w:rFonts w:cs="Arial"/>
          <w:color w:val="000000"/>
          <w:sz w:val="23"/>
          <w:szCs w:val="23"/>
          <w:lang w:val="en-US"/>
        </w:rPr>
      </w:pPr>
    </w:p>
    <w:p w:rsidR="004B09D8" w:rsidRPr="00AF181E" w:rsidRDefault="004B09D8" w:rsidP="00F15E9B">
      <w:pPr>
        <w:pStyle w:val="ListParagraph"/>
        <w:numPr>
          <w:ilvl w:val="0"/>
          <w:numId w:val="12"/>
        </w:numPr>
        <w:autoSpaceDE w:val="0"/>
        <w:autoSpaceDN w:val="0"/>
        <w:adjustRightInd w:val="0"/>
        <w:jc w:val="both"/>
        <w:rPr>
          <w:rFonts w:asciiTheme="minorHAnsi" w:hAnsiTheme="minorHAnsi"/>
          <w:sz w:val="23"/>
          <w:szCs w:val="23"/>
        </w:rPr>
      </w:pPr>
      <w:r w:rsidRPr="00AF181E">
        <w:rPr>
          <w:rFonts w:asciiTheme="minorHAnsi" w:hAnsiTheme="minorHAnsi"/>
          <w:sz w:val="23"/>
          <w:szCs w:val="23"/>
        </w:rPr>
        <w:t>The RAs themselves acknowledge that DCs are inadequate in addressing local market power. Section 3.8 of the 2006 Market Power Mitigation in the SEM Directed Contract Quantification Methodology Decision Paper (AIP/SEM/208/06) states</w:t>
      </w:r>
    </w:p>
    <w:p w:rsidR="004B09D8" w:rsidRPr="00AF181E" w:rsidRDefault="004B09D8" w:rsidP="0002575C">
      <w:pPr>
        <w:autoSpaceDE w:val="0"/>
        <w:autoSpaceDN w:val="0"/>
        <w:adjustRightInd w:val="0"/>
        <w:spacing w:after="0" w:line="240" w:lineRule="auto"/>
        <w:jc w:val="both"/>
        <w:rPr>
          <w:sz w:val="23"/>
          <w:szCs w:val="23"/>
        </w:rPr>
      </w:pPr>
    </w:p>
    <w:p w:rsidR="004B09D8" w:rsidRPr="00AF181E" w:rsidRDefault="004B09D8" w:rsidP="00581A29">
      <w:pPr>
        <w:autoSpaceDE w:val="0"/>
        <w:autoSpaceDN w:val="0"/>
        <w:adjustRightInd w:val="0"/>
        <w:spacing w:after="0"/>
        <w:ind w:left="1080" w:right="720"/>
        <w:jc w:val="both"/>
        <w:rPr>
          <w:sz w:val="23"/>
          <w:szCs w:val="23"/>
        </w:rPr>
      </w:pPr>
      <w:r w:rsidRPr="00AF181E">
        <w:rPr>
          <w:sz w:val="23"/>
          <w:szCs w:val="23"/>
        </w:rPr>
        <w:t>“The Regulatory Authorities reiterate that the directed contract quantification methodology is conducted on an all-island basis and considers only SMP effects. Directed Contracts would not reduce the incentive to drive up constraint payments that would result from the exertion of local market power.”</w:t>
      </w:r>
    </w:p>
    <w:p w:rsidR="004B09D8" w:rsidRPr="00AF181E" w:rsidRDefault="004B09D8" w:rsidP="0002575C">
      <w:pPr>
        <w:autoSpaceDE w:val="0"/>
        <w:autoSpaceDN w:val="0"/>
        <w:adjustRightInd w:val="0"/>
        <w:spacing w:after="0" w:line="240" w:lineRule="auto"/>
        <w:jc w:val="both"/>
        <w:rPr>
          <w:sz w:val="23"/>
          <w:szCs w:val="23"/>
        </w:rPr>
      </w:pPr>
    </w:p>
    <w:p w:rsidR="0002575C" w:rsidRDefault="004B09D8" w:rsidP="00F15E9B">
      <w:pPr>
        <w:pStyle w:val="ListParagraph"/>
        <w:numPr>
          <w:ilvl w:val="0"/>
          <w:numId w:val="12"/>
        </w:numPr>
        <w:autoSpaceDE w:val="0"/>
        <w:autoSpaceDN w:val="0"/>
        <w:adjustRightInd w:val="0"/>
        <w:jc w:val="both"/>
        <w:rPr>
          <w:rFonts w:asciiTheme="minorHAnsi" w:hAnsiTheme="minorHAnsi" w:cs="Calibri"/>
          <w:sz w:val="23"/>
          <w:szCs w:val="23"/>
        </w:rPr>
      </w:pPr>
      <w:r w:rsidRPr="00AF181E">
        <w:rPr>
          <w:rFonts w:asciiTheme="minorHAnsi" w:hAnsiTheme="minorHAnsi"/>
          <w:sz w:val="23"/>
          <w:szCs w:val="23"/>
        </w:rPr>
        <w:t>To</w:t>
      </w:r>
      <w:r w:rsidR="00BE5250" w:rsidRPr="00AF181E">
        <w:rPr>
          <w:rFonts w:asciiTheme="minorHAnsi" w:hAnsiTheme="minorHAnsi" w:cs="Arial"/>
          <w:color w:val="000000"/>
          <w:sz w:val="23"/>
          <w:szCs w:val="23"/>
        </w:rPr>
        <w:t xml:space="preserve"> include such a provision would be discriminatory </w:t>
      </w:r>
      <w:r w:rsidR="00B24BE6" w:rsidRPr="00AF181E">
        <w:rPr>
          <w:rFonts w:asciiTheme="minorHAnsi" w:hAnsiTheme="minorHAnsi" w:cs="Arial"/>
          <w:color w:val="000000"/>
          <w:sz w:val="23"/>
          <w:szCs w:val="23"/>
        </w:rPr>
        <w:t xml:space="preserve">and expose AES to additional risk </w:t>
      </w:r>
      <w:r w:rsidR="00BE5250" w:rsidRPr="00AF181E">
        <w:rPr>
          <w:rFonts w:asciiTheme="minorHAnsi" w:hAnsiTheme="minorHAnsi" w:cs="Arial"/>
          <w:color w:val="000000"/>
          <w:sz w:val="23"/>
          <w:szCs w:val="23"/>
        </w:rPr>
        <w:t xml:space="preserve">as there are a number of other participants who control greater or equivalent levels of capacity than AES such as Endessa, ESBI, Viridian and BGE (see capacity table </w:t>
      </w:r>
      <w:r w:rsidR="00EE3A55">
        <w:rPr>
          <w:rFonts w:asciiTheme="minorHAnsi" w:hAnsiTheme="minorHAnsi" w:cs="Arial"/>
          <w:color w:val="000000"/>
          <w:sz w:val="23"/>
          <w:szCs w:val="23"/>
        </w:rPr>
        <w:t xml:space="preserve">in Sectioni 3.1.2 </w:t>
      </w:r>
      <w:r w:rsidR="00BE5250" w:rsidRPr="00AF181E">
        <w:rPr>
          <w:rFonts w:asciiTheme="minorHAnsi" w:hAnsiTheme="minorHAnsi" w:cs="Arial"/>
          <w:color w:val="000000"/>
          <w:sz w:val="23"/>
          <w:szCs w:val="23"/>
        </w:rPr>
        <w:t>above)</w:t>
      </w:r>
      <w:r w:rsidR="00B24BE6" w:rsidRPr="00AF181E">
        <w:rPr>
          <w:rFonts w:asciiTheme="minorHAnsi" w:hAnsiTheme="minorHAnsi" w:cs="Arial"/>
          <w:color w:val="000000"/>
          <w:sz w:val="23"/>
          <w:szCs w:val="23"/>
        </w:rPr>
        <w:t xml:space="preserve"> who would not have such a provision in their licence</w:t>
      </w:r>
      <w:r w:rsidR="00BE5250" w:rsidRPr="00AF181E">
        <w:rPr>
          <w:rFonts w:asciiTheme="minorHAnsi" w:hAnsiTheme="minorHAnsi" w:cs="Arial"/>
          <w:color w:val="000000"/>
          <w:sz w:val="23"/>
          <w:szCs w:val="23"/>
        </w:rPr>
        <w:t>.</w:t>
      </w:r>
      <w:r w:rsidR="00B24BE6" w:rsidRPr="00AF181E">
        <w:rPr>
          <w:rFonts w:asciiTheme="minorHAnsi" w:hAnsiTheme="minorHAnsi" w:cs="Arial"/>
          <w:color w:val="000000"/>
          <w:sz w:val="23"/>
          <w:szCs w:val="23"/>
        </w:rPr>
        <w:t xml:space="preserve"> In addition, AES would have no opportunity to recover any losses should the price of the DCs be out of market due to movements in commodity prices</w:t>
      </w:r>
      <w:r w:rsidR="0095005A">
        <w:rPr>
          <w:rFonts w:asciiTheme="minorHAnsi" w:hAnsiTheme="minorHAnsi" w:cs="Arial"/>
          <w:color w:val="000000"/>
          <w:sz w:val="23"/>
          <w:szCs w:val="23"/>
        </w:rPr>
        <w:t xml:space="preserve"> or the quantity of DCs be excessive resulting in AES being burdened with an over-contracted position</w:t>
      </w:r>
      <w:r w:rsidR="00B24BE6" w:rsidRPr="00AF181E">
        <w:rPr>
          <w:rFonts w:asciiTheme="minorHAnsi" w:hAnsiTheme="minorHAnsi" w:cs="Arial"/>
          <w:color w:val="000000"/>
          <w:sz w:val="23"/>
          <w:szCs w:val="23"/>
        </w:rPr>
        <w:t xml:space="preserve">. </w:t>
      </w:r>
      <w:r w:rsidR="00BD514C" w:rsidRPr="00AF181E">
        <w:rPr>
          <w:rFonts w:asciiTheme="minorHAnsi" w:hAnsiTheme="minorHAnsi" w:cs="Arial"/>
          <w:color w:val="000000"/>
          <w:sz w:val="23"/>
          <w:szCs w:val="23"/>
        </w:rPr>
        <w:t xml:space="preserve">As </w:t>
      </w:r>
      <w:r w:rsidR="00B24BE6" w:rsidRPr="00AF181E">
        <w:rPr>
          <w:rFonts w:asciiTheme="minorHAnsi" w:hAnsiTheme="minorHAnsi" w:cs="Arial"/>
          <w:color w:val="000000"/>
          <w:sz w:val="23"/>
          <w:szCs w:val="23"/>
        </w:rPr>
        <w:t>NIEE</w:t>
      </w:r>
      <w:r w:rsidR="00D56602" w:rsidRPr="00AF181E">
        <w:rPr>
          <w:rFonts w:asciiTheme="minorHAnsi" w:hAnsiTheme="minorHAnsi" w:cs="Arial"/>
          <w:color w:val="000000"/>
          <w:sz w:val="23"/>
          <w:szCs w:val="23"/>
        </w:rPr>
        <w:t xml:space="preserve"> </w:t>
      </w:r>
      <w:r w:rsidR="0095005A">
        <w:rPr>
          <w:rFonts w:asciiTheme="minorHAnsi" w:hAnsiTheme="minorHAnsi" w:cs="Arial"/>
          <w:color w:val="000000"/>
          <w:sz w:val="23"/>
          <w:szCs w:val="23"/>
        </w:rPr>
        <w:t xml:space="preserve">PPB </w:t>
      </w:r>
      <w:r w:rsidR="00D56602" w:rsidRPr="00AF181E">
        <w:rPr>
          <w:rFonts w:asciiTheme="minorHAnsi" w:hAnsiTheme="minorHAnsi" w:cs="Arial"/>
          <w:color w:val="000000"/>
          <w:sz w:val="23"/>
          <w:szCs w:val="23"/>
        </w:rPr>
        <w:t xml:space="preserve">has the ability to recover </w:t>
      </w:r>
      <w:r w:rsidR="00B24BE6" w:rsidRPr="00AF181E">
        <w:rPr>
          <w:rFonts w:asciiTheme="minorHAnsi" w:hAnsiTheme="minorHAnsi" w:cs="Arial"/>
          <w:color w:val="000000"/>
          <w:sz w:val="23"/>
          <w:szCs w:val="23"/>
        </w:rPr>
        <w:t xml:space="preserve">such losses through the Public Service Obligation </w:t>
      </w:r>
      <w:r w:rsidR="00BD514C" w:rsidRPr="00AF181E">
        <w:rPr>
          <w:rFonts w:asciiTheme="minorHAnsi" w:hAnsiTheme="minorHAnsi" w:cs="Arial"/>
          <w:color w:val="000000"/>
          <w:sz w:val="23"/>
          <w:szCs w:val="23"/>
        </w:rPr>
        <w:t>this would</w:t>
      </w:r>
      <w:r w:rsidR="00B24BE6" w:rsidRPr="00AF181E">
        <w:rPr>
          <w:rFonts w:asciiTheme="minorHAnsi" w:hAnsiTheme="minorHAnsi" w:cs="Arial"/>
          <w:color w:val="000000"/>
          <w:sz w:val="23"/>
          <w:szCs w:val="23"/>
        </w:rPr>
        <w:t xml:space="preserve"> further discriminat</w:t>
      </w:r>
      <w:r w:rsidR="00BD514C" w:rsidRPr="00AF181E">
        <w:rPr>
          <w:rFonts w:asciiTheme="minorHAnsi" w:hAnsiTheme="minorHAnsi" w:cs="Arial"/>
          <w:color w:val="000000"/>
          <w:sz w:val="23"/>
          <w:szCs w:val="23"/>
        </w:rPr>
        <w:t>e</w:t>
      </w:r>
      <w:r w:rsidR="00B24BE6" w:rsidRPr="00AF181E">
        <w:rPr>
          <w:rFonts w:asciiTheme="minorHAnsi" w:hAnsiTheme="minorHAnsi" w:cs="Arial"/>
          <w:color w:val="000000"/>
          <w:sz w:val="23"/>
          <w:szCs w:val="23"/>
        </w:rPr>
        <w:t xml:space="preserve"> against AES.</w:t>
      </w:r>
      <w:r w:rsidR="00BE5250" w:rsidRPr="00AF181E">
        <w:rPr>
          <w:rFonts w:asciiTheme="minorHAnsi" w:hAnsiTheme="minorHAnsi" w:cs="Calibri"/>
          <w:sz w:val="23"/>
          <w:szCs w:val="23"/>
        </w:rPr>
        <w:t xml:space="preserve"> </w:t>
      </w:r>
    </w:p>
    <w:p w:rsidR="00D63687" w:rsidRDefault="00D63687" w:rsidP="00D63687">
      <w:pPr>
        <w:pStyle w:val="ListParagraph"/>
        <w:autoSpaceDE w:val="0"/>
        <w:autoSpaceDN w:val="0"/>
        <w:adjustRightInd w:val="0"/>
        <w:jc w:val="both"/>
        <w:rPr>
          <w:rFonts w:asciiTheme="minorHAnsi" w:hAnsiTheme="minorHAnsi" w:cs="Calibri"/>
          <w:sz w:val="23"/>
          <w:szCs w:val="23"/>
        </w:rPr>
      </w:pPr>
    </w:p>
    <w:p w:rsidR="0095005A" w:rsidRDefault="0095005A" w:rsidP="00F15E9B">
      <w:pPr>
        <w:pStyle w:val="ListParagraph"/>
        <w:numPr>
          <w:ilvl w:val="0"/>
          <w:numId w:val="12"/>
        </w:numPr>
        <w:autoSpaceDE w:val="0"/>
        <w:autoSpaceDN w:val="0"/>
        <w:adjustRightInd w:val="0"/>
        <w:jc w:val="both"/>
        <w:rPr>
          <w:rFonts w:asciiTheme="minorHAnsi" w:hAnsiTheme="minorHAnsi" w:cs="Calibri"/>
          <w:sz w:val="23"/>
          <w:szCs w:val="23"/>
        </w:rPr>
      </w:pPr>
      <w:r>
        <w:rPr>
          <w:rFonts w:asciiTheme="minorHAnsi" w:hAnsiTheme="minorHAnsi" w:cs="Calibri"/>
          <w:sz w:val="23"/>
          <w:szCs w:val="23"/>
        </w:rPr>
        <w:lastRenderedPageBreak/>
        <w:t>The RAs and many other Participants have</w:t>
      </w:r>
      <w:r w:rsidR="004E740D">
        <w:rPr>
          <w:rFonts w:asciiTheme="minorHAnsi" w:hAnsiTheme="minorHAnsi" w:cs="Calibri"/>
          <w:sz w:val="23"/>
          <w:szCs w:val="23"/>
        </w:rPr>
        <w:t xml:space="preserve"> indicated a desire</w:t>
      </w:r>
      <w:r>
        <w:rPr>
          <w:rFonts w:asciiTheme="minorHAnsi" w:hAnsiTheme="minorHAnsi" w:cs="Calibri"/>
          <w:sz w:val="23"/>
          <w:szCs w:val="23"/>
        </w:rPr>
        <w:t xml:space="preserve"> </w:t>
      </w:r>
      <w:r w:rsidR="004E740D">
        <w:rPr>
          <w:rFonts w:asciiTheme="minorHAnsi" w:hAnsiTheme="minorHAnsi" w:cs="Calibri"/>
          <w:sz w:val="23"/>
          <w:szCs w:val="23"/>
        </w:rPr>
        <w:t xml:space="preserve">to improve liquidity in the SEM (which AES supports) but both have </w:t>
      </w:r>
      <w:r>
        <w:rPr>
          <w:rFonts w:asciiTheme="minorHAnsi" w:hAnsiTheme="minorHAnsi" w:cs="Calibri"/>
          <w:sz w:val="23"/>
          <w:szCs w:val="23"/>
        </w:rPr>
        <w:t xml:space="preserve">acknowledged that directing specific contract structures and prices </w:t>
      </w:r>
      <w:r w:rsidR="004E740D">
        <w:rPr>
          <w:rFonts w:asciiTheme="minorHAnsi" w:hAnsiTheme="minorHAnsi" w:cs="Calibri"/>
          <w:sz w:val="23"/>
          <w:szCs w:val="23"/>
        </w:rPr>
        <w:t>often stifles the competitive market</w:t>
      </w:r>
      <w:r w:rsidR="004E740D">
        <w:rPr>
          <w:rStyle w:val="FootnoteReference"/>
        </w:rPr>
        <w:footnoteReference w:id="4"/>
      </w:r>
      <w:r w:rsidR="00D63687">
        <w:rPr>
          <w:rFonts w:asciiTheme="minorHAnsi" w:hAnsiTheme="minorHAnsi" w:cs="Calibri"/>
          <w:sz w:val="23"/>
          <w:szCs w:val="23"/>
        </w:rPr>
        <w:t>.</w:t>
      </w:r>
    </w:p>
    <w:p w:rsidR="00D63687" w:rsidRDefault="00D63687" w:rsidP="00D63687">
      <w:pPr>
        <w:pStyle w:val="ListParagraph"/>
        <w:autoSpaceDE w:val="0"/>
        <w:autoSpaceDN w:val="0"/>
        <w:adjustRightInd w:val="0"/>
        <w:jc w:val="both"/>
        <w:rPr>
          <w:rFonts w:asciiTheme="minorHAnsi" w:hAnsiTheme="minorHAnsi" w:cs="Calibri"/>
          <w:sz w:val="23"/>
          <w:szCs w:val="23"/>
        </w:rPr>
      </w:pPr>
    </w:p>
    <w:p w:rsidR="00D63687" w:rsidRPr="00AF181E" w:rsidRDefault="00D63687" w:rsidP="00F15E9B">
      <w:pPr>
        <w:pStyle w:val="ListParagraph"/>
        <w:numPr>
          <w:ilvl w:val="0"/>
          <w:numId w:val="12"/>
        </w:numPr>
        <w:autoSpaceDE w:val="0"/>
        <w:autoSpaceDN w:val="0"/>
        <w:adjustRightInd w:val="0"/>
        <w:jc w:val="both"/>
        <w:rPr>
          <w:rFonts w:asciiTheme="minorHAnsi" w:hAnsiTheme="minorHAnsi" w:cs="Calibri"/>
          <w:sz w:val="23"/>
          <w:szCs w:val="23"/>
        </w:rPr>
      </w:pPr>
      <w:r>
        <w:rPr>
          <w:rFonts w:asciiTheme="minorHAnsi" w:hAnsiTheme="minorHAnsi" w:cs="Calibri"/>
          <w:sz w:val="23"/>
          <w:szCs w:val="23"/>
        </w:rPr>
        <w:t xml:space="preserve">The alteration of generating </w:t>
      </w:r>
      <w:r w:rsidR="0047299B">
        <w:rPr>
          <w:rFonts w:asciiTheme="minorHAnsi" w:hAnsiTheme="minorHAnsi" w:cs="Calibri"/>
          <w:sz w:val="23"/>
          <w:szCs w:val="23"/>
        </w:rPr>
        <w:t>licenc</w:t>
      </w:r>
      <w:r>
        <w:rPr>
          <w:rFonts w:asciiTheme="minorHAnsi" w:hAnsiTheme="minorHAnsi" w:cs="Calibri"/>
          <w:sz w:val="23"/>
          <w:szCs w:val="23"/>
        </w:rPr>
        <w:t>es is likely to increase regulatory risk in the market, raise the cost of capital and potentially deter entry.</w:t>
      </w:r>
    </w:p>
    <w:p w:rsidR="00380232" w:rsidRPr="00AF181E" w:rsidRDefault="00380232" w:rsidP="00380232">
      <w:pPr>
        <w:autoSpaceDE w:val="0"/>
        <w:autoSpaceDN w:val="0"/>
        <w:adjustRightInd w:val="0"/>
        <w:spacing w:after="0" w:line="240" w:lineRule="auto"/>
        <w:jc w:val="both"/>
        <w:rPr>
          <w:rFonts w:cs="Calibri-Bold"/>
          <w:b/>
          <w:bCs/>
          <w:sz w:val="23"/>
          <w:szCs w:val="23"/>
          <w:lang w:val="en-US"/>
        </w:rPr>
      </w:pPr>
    </w:p>
    <w:p w:rsidR="006940D6" w:rsidRDefault="00BD514C" w:rsidP="004E3F49">
      <w:pPr>
        <w:pStyle w:val="Default"/>
        <w:jc w:val="both"/>
        <w:rPr>
          <w:rFonts w:asciiTheme="minorHAnsi" w:hAnsiTheme="minorHAnsi"/>
          <w:sz w:val="23"/>
          <w:szCs w:val="23"/>
        </w:rPr>
      </w:pPr>
      <w:r w:rsidRPr="00AF181E">
        <w:rPr>
          <w:rFonts w:asciiTheme="minorHAnsi" w:hAnsiTheme="minorHAnsi"/>
          <w:sz w:val="23"/>
          <w:szCs w:val="23"/>
        </w:rPr>
        <w:t xml:space="preserve">AES therefore </w:t>
      </w:r>
      <w:r w:rsidR="00F15E9B" w:rsidRPr="00AF181E">
        <w:rPr>
          <w:rFonts w:asciiTheme="minorHAnsi" w:hAnsiTheme="minorHAnsi"/>
          <w:sz w:val="23"/>
          <w:szCs w:val="23"/>
        </w:rPr>
        <w:t>strongly</w:t>
      </w:r>
      <w:r w:rsidRPr="00AF181E">
        <w:rPr>
          <w:rFonts w:asciiTheme="minorHAnsi" w:hAnsiTheme="minorHAnsi"/>
          <w:sz w:val="23"/>
          <w:szCs w:val="23"/>
        </w:rPr>
        <w:t xml:space="preserve"> disagrees with the view that the Ballylumford and Kilroot </w:t>
      </w:r>
      <w:r w:rsidR="00EE3A55">
        <w:rPr>
          <w:rFonts w:asciiTheme="minorHAnsi" w:hAnsiTheme="minorHAnsi"/>
          <w:sz w:val="23"/>
          <w:szCs w:val="23"/>
        </w:rPr>
        <w:t>G</w:t>
      </w:r>
      <w:r w:rsidRPr="00AF181E">
        <w:rPr>
          <w:rFonts w:asciiTheme="minorHAnsi" w:hAnsiTheme="minorHAnsi"/>
          <w:sz w:val="23"/>
          <w:szCs w:val="23"/>
        </w:rPr>
        <w:t xml:space="preserve">eneration </w:t>
      </w:r>
      <w:r w:rsidR="00EE3A55">
        <w:rPr>
          <w:rFonts w:asciiTheme="minorHAnsi" w:hAnsiTheme="minorHAnsi"/>
          <w:sz w:val="23"/>
          <w:szCs w:val="23"/>
        </w:rPr>
        <w:t>L</w:t>
      </w:r>
      <w:r w:rsidRPr="00AF181E">
        <w:rPr>
          <w:rFonts w:asciiTheme="minorHAnsi" w:hAnsiTheme="minorHAnsi"/>
          <w:sz w:val="23"/>
          <w:szCs w:val="23"/>
        </w:rPr>
        <w:t xml:space="preserve">icences should be amended to include a DC Condition similar to that contained within the ESB and NIE Energy licences. </w:t>
      </w:r>
    </w:p>
    <w:p w:rsidR="00EE3E31" w:rsidRPr="00AF181E" w:rsidRDefault="00EE3E31" w:rsidP="004E3F49">
      <w:pPr>
        <w:pStyle w:val="Default"/>
        <w:jc w:val="both"/>
        <w:rPr>
          <w:rFonts w:asciiTheme="minorHAnsi" w:hAnsiTheme="minorHAnsi"/>
          <w:sz w:val="23"/>
          <w:szCs w:val="23"/>
        </w:rPr>
      </w:pPr>
    </w:p>
    <w:p w:rsidR="00D24931" w:rsidRPr="00EE3E31" w:rsidRDefault="00EE3E31" w:rsidP="004E3F49">
      <w:pPr>
        <w:pStyle w:val="Default"/>
        <w:jc w:val="both"/>
        <w:rPr>
          <w:rFonts w:asciiTheme="minorHAnsi" w:hAnsiTheme="minorHAnsi"/>
          <w:b/>
        </w:rPr>
      </w:pPr>
      <w:r w:rsidRPr="00EE3E31">
        <w:rPr>
          <w:rFonts w:asciiTheme="minorHAnsi" w:hAnsiTheme="minorHAnsi"/>
          <w:b/>
        </w:rPr>
        <w:t>3.3.5</w:t>
      </w:r>
      <w:r>
        <w:rPr>
          <w:rFonts w:asciiTheme="minorHAnsi" w:hAnsiTheme="minorHAnsi"/>
          <w:b/>
        </w:rPr>
        <w:tab/>
      </w:r>
      <w:r w:rsidRPr="00EE3E31">
        <w:rPr>
          <w:rFonts w:asciiTheme="minorHAnsi" w:hAnsiTheme="minorHAnsi"/>
          <w:b/>
        </w:rPr>
        <w:t xml:space="preserve"> </w:t>
      </w:r>
      <w:r w:rsidR="00D24931" w:rsidRPr="00EE3E31">
        <w:rPr>
          <w:rFonts w:asciiTheme="minorHAnsi" w:hAnsiTheme="minorHAnsi"/>
          <w:b/>
        </w:rPr>
        <w:t>Ringfencing</w:t>
      </w:r>
    </w:p>
    <w:p w:rsidR="00D24931" w:rsidRPr="00AF181E" w:rsidRDefault="00D24931" w:rsidP="004E3F49">
      <w:pPr>
        <w:pStyle w:val="Default"/>
        <w:jc w:val="both"/>
        <w:rPr>
          <w:rFonts w:asciiTheme="minorHAnsi" w:hAnsiTheme="minorHAnsi"/>
          <w:sz w:val="23"/>
          <w:szCs w:val="23"/>
        </w:rPr>
      </w:pPr>
    </w:p>
    <w:p w:rsidR="00E31E72" w:rsidRPr="00AF181E" w:rsidRDefault="00270CD1" w:rsidP="00E31E72">
      <w:pPr>
        <w:pStyle w:val="Default"/>
        <w:jc w:val="both"/>
        <w:rPr>
          <w:rFonts w:asciiTheme="minorHAnsi" w:hAnsiTheme="minorHAnsi" w:cs="Arial"/>
          <w:sz w:val="23"/>
          <w:szCs w:val="23"/>
          <w:lang w:val="en-US"/>
        </w:rPr>
      </w:pPr>
      <w:r w:rsidRPr="00AF181E">
        <w:rPr>
          <w:rFonts w:asciiTheme="minorHAnsi" w:hAnsiTheme="minorHAnsi"/>
          <w:sz w:val="23"/>
          <w:szCs w:val="23"/>
        </w:rPr>
        <w:t xml:space="preserve">The Consultation Paper asks whether there is a need for any additional measures such as </w:t>
      </w:r>
      <w:r w:rsidR="00E31E72" w:rsidRPr="00AF181E">
        <w:rPr>
          <w:rFonts w:asciiTheme="minorHAnsi" w:hAnsiTheme="minorHAnsi"/>
          <w:sz w:val="23"/>
          <w:szCs w:val="23"/>
        </w:rPr>
        <w:t>the ‘</w:t>
      </w:r>
      <w:r w:rsidRPr="00AF181E">
        <w:rPr>
          <w:rFonts w:asciiTheme="minorHAnsi" w:hAnsiTheme="minorHAnsi"/>
          <w:sz w:val="23"/>
          <w:szCs w:val="23"/>
        </w:rPr>
        <w:t>ring fencing</w:t>
      </w:r>
      <w:r w:rsidR="00E31E72" w:rsidRPr="00AF181E">
        <w:rPr>
          <w:rFonts w:asciiTheme="minorHAnsi" w:hAnsiTheme="minorHAnsi"/>
          <w:sz w:val="23"/>
          <w:szCs w:val="23"/>
        </w:rPr>
        <w:t>’ of generation businesses now or in the future. AES considers that the existing market power mitigation measures are more than adequate and that there is no need for any further measures. Indeed</w:t>
      </w:r>
      <w:r w:rsidR="00E31E72" w:rsidRPr="00AF181E">
        <w:rPr>
          <w:rFonts w:asciiTheme="minorHAnsi" w:hAnsiTheme="minorHAnsi" w:cs="Arial"/>
          <w:sz w:val="23"/>
          <w:szCs w:val="23"/>
          <w:lang w:val="en-US"/>
        </w:rPr>
        <w:t xml:space="preserve"> the primary market mitigation measures (Bidding Code of Practice</w:t>
      </w:r>
      <w:r w:rsidR="0047299B">
        <w:rPr>
          <w:rFonts w:asciiTheme="minorHAnsi" w:hAnsiTheme="minorHAnsi" w:cs="Arial"/>
          <w:sz w:val="23"/>
          <w:szCs w:val="23"/>
          <w:lang w:val="en-US"/>
        </w:rPr>
        <w:t>,</w:t>
      </w:r>
      <w:r w:rsidR="00E31E72" w:rsidRPr="00AF181E">
        <w:rPr>
          <w:rFonts w:asciiTheme="minorHAnsi" w:hAnsiTheme="minorHAnsi" w:cs="Arial"/>
          <w:sz w:val="23"/>
          <w:szCs w:val="23"/>
          <w:lang w:val="en-US"/>
        </w:rPr>
        <w:t xml:space="preserve"> MM</w:t>
      </w:r>
      <w:r w:rsidR="0047299B">
        <w:rPr>
          <w:rFonts w:asciiTheme="minorHAnsi" w:hAnsiTheme="minorHAnsi" w:cs="Arial"/>
          <w:sz w:val="23"/>
          <w:szCs w:val="23"/>
          <w:lang w:val="en-US"/>
        </w:rPr>
        <w:t>U and generating licence requirements</w:t>
      </w:r>
      <w:r w:rsidR="00E31E72" w:rsidRPr="00AF181E">
        <w:rPr>
          <w:rFonts w:asciiTheme="minorHAnsi" w:hAnsiTheme="minorHAnsi" w:cs="Arial"/>
          <w:sz w:val="23"/>
          <w:szCs w:val="23"/>
          <w:lang w:val="en-US"/>
        </w:rPr>
        <w:t>) have been so effective in preventing market abuse that the RAs have not (as far as AES is aware) had to implement the further local market power controls (capping of constraint payments and Reliability Must-Run contracts) at their disposal.</w:t>
      </w:r>
    </w:p>
    <w:p w:rsidR="00DA5BD9" w:rsidRPr="00AF181E" w:rsidRDefault="00DA5BD9" w:rsidP="00E31E72">
      <w:pPr>
        <w:pStyle w:val="Default"/>
        <w:jc w:val="both"/>
        <w:rPr>
          <w:rFonts w:asciiTheme="minorHAnsi" w:hAnsiTheme="minorHAnsi" w:cs="Arial"/>
          <w:sz w:val="23"/>
          <w:szCs w:val="23"/>
          <w:lang w:val="en-US"/>
        </w:rPr>
      </w:pPr>
    </w:p>
    <w:p w:rsidR="00CE645D" w:rsidRPr="00EF5F31" w:rsidRDefault="00CE645D" w:rsidP="00EF5F31">
      <w:pPr>
        <w:pStyle w:val="Default"/>
        <w:jc w:val="both"/>
        <w:rPr>
          <w:rFonts w:asciiTheme="minorHAnsi" w:hAnsiTheme="minorHAnsi" w:cs="Times New Roman"/>
          <w:sz w:val="23"/>
          <w:szCs w:val="23"/>
          <w:lang w:val="en-US"/>
        </w:rPr>
      </w:pPr>
      <w:r w:rsidRPr="00EF5F31">
        <w:rPr>
          <w:rFonts w:asciiTheme="minorHAnsi" w:hAnsiTheme="minorHAnsi" w:cs="Arial"/>
          <w:sz w:val="23"/>
          <w:szCs w:val="23"/>
          <w:lang w:val="en-US"/>
        </w:rPr>
        <w:t xml:space="preserve">A number of ring fencing conditions already exist in the </w:t>
      </w:r>
      <w:r w:rsidR="0047299B" w:rsidRPr="00EF5F31">
        <w:rPr>
          <w:rFonts w:asciiTheme="minorHAnsi" w:hAnsiTheme="minorHAnsi" w:cs="Arial"/>
          <w:sz w:val="23"/>
          <w:szCs w:val="23"/>
          <w:lang w:val="en-US"/>
        </w:rPr>
        <w:t xml:space="preserve">AES </w:t>
      </w:r>
      <w:r w:rsidRPr="00EF5F31">
        <w:rPr>
          <w:rFonts w:asciiTheme="minorHAnsi" w:hAnsiTheme="minorHAnsi" w:cs="Arial"/>
          <w:sz w:val="23"/>
          <w:szCs w:val="23"/>
          <w:lang w:val="en-US"/>
        </w:rPr>
        <w:t>K</w:t>
      </w:r>
      <w:r w:rsidR="0047299B" w:rsidRPr="00EF5F31">
        <w:rPr>
          <w:rFonts w:asciiTheme="minorHAnsi" w:hAnsiTheme="minorHAnsi" w:cs="Arial"/>
          <w:sz w:val="23"/>
          <w:szCs w:val="23"/>
          <w:lang w:val="en-US"/>
        </w:rPr>
        <w:t>PL</w:t>
      </w:r>
      <w:r w:rsidRPr="00EF5F31">
        <w:rPr>
          <w:rFonts w:asciiTheme="minorHAnsi" w:hAnsiTheme="minorHAnsi" w:cs="Arial"/>
          <w:sz w:val="23"/>
          <w:szCs w:val="23"/>
          <w:lang w:val="en-US"/>
        </w:rPr>
        <w:t xml:space="preserve"> and </w:t>
      </w:r>
      <w:r w:rsidR="0047299B" w:rsidRPr="00EF5F31">
        <w:rPr>
          <w:rFonts w:asciiTheme="minorHAnsi" w:hAnsiTheme="minorHAnsi" w:cs="Arial"/>
          <w:sz w:val="23"/>
          <w:szCs w:val="23"/>
          <w:lang w:val="en-US"/>
        </w:rPr>
        <w:t xml:space="preserve">AES </w:t>
      </w:r>
      <w:r w:rsidRPr="00EF5F31">
        <w:rPr>
          <w:rFonts w:asciiTheme="minorHAnsi" w:hAnsiTheme="minorHAnsi" w:cs="Arial"/>
          <w:sz w:val="23"/>
          <w:szCs w:val="23"/>
          <w:lang w:val="en-US"/>
        </w:rPr>
        <w:t>B</w:t>
      </w:r>
      <w:r w:rsidR="0047299B" w:rsidRPr="00EF5F31">
        <w:rPr>
          <w:rFonts w:asciiTheme="minorHAnsi" w:hAnsiTheme="minorHAnsi" w:cs="Arial"/>
          <w:sz w:val="23"/>
          <w:szCs w:val="23"/>
          <w:lang w:val="en-US"/>
        </w:rPr>
        <w:t>L</w:t>
      </w:r>
      <w:r w:rsidRPr="00EF5F31">
        <w:rPr>
          <w:rFonts w:asciiTheme="minorHAnsi" w:hAnsiTheme="minorHAnsi" w:cs="Arial"/>
          <w:sz w:val="23"/>
          <w:szCs w:val="23"/>
          <w:lang w:val="en-US"/>
        </w:rPr>
        <w:t xml:space="preserve"> generation licences.</w:t>
      </w:r>
      <w:r w:rsidR="00EF5F31" w:rsidRPr="00EF5F31">
        <w:rPr>
          <w:rFonts w:asciiTheme="minorHAnsi" w:hAnsiTheme="minorHAnsi" w:cs="Arial"/>
          <w:sz w:val="23"/>
          <w:szCs w:val="23"/>
          <w:lang w:val="en-US"/>
        </w:rPr>
        <w:t xml:space="preserve"> </w:t>
      </w:r>
      <w:r w:rsidRPr="00EF5F31">
        <w:rPr>
          <w:rFonts w:asciiTheme="minorHAnsi" w:hAnsiTheme="minorHAnsi" w:cs="Times New Roman"/>
          <w:iCs/>
          <w:sz w:val="23"/>
          <w:szCs w:val="23"/>
          <w:lang w:val="en-US"/>
        </w:rPr>
        <w:t xml:space="preserve">Condition 2 </w:t>
      </w:r>
      <w:r w:rsidR="00EF5F31" w:rsidRPr="00EF5F31">
        <w:rPr>
          <w:rFonts w:asciiTheme="minorHAnsi" w:hAnsiTheme="minorHAnsi" w:cs="Times New Roman"/>
          <w:iCs/>
          <w:sz w:val="23"/>
          <w:szCs w:val="23"/>
          <w:lang w:val="en-US"/>
        </w:rPr>
        <w:t>‘</w:t>
      </w:r>
      <w:r w:rsidRPr="00EF5F31">
        <w:rPr>
          <w:rFonts w:asciiTheme="minorHAnsi" w:hAnsiTheme="minorHAnsi" w:cs="Times New Roman"/>
          <w:iCs/>
          <w:sz w:val="23"/>
          <w:szCs w:val="23"/>
          <w:lang w:val="en-US"/>
        </w:rPr>
        <w:t>Separate Accounts for Separate Businesses</w:t>
      </w:r>
      <w:r w:rsidR="00EF5F31" w:rsidRPr="00EF5F31">
        <w:rPr>
          <w:rFonts w:asciiTheme="minorHAnsi" w:hAnsiTheme="minorHAnsi" w:cs="Times New Roman"/>
          <w:iCs/>
          <w:sz w:val="23"/>
          <w:szCs w:val="23"/>
          <w:lang w:val="en-US"/>
        </w:rPr>
        <w:t xml:space="preserve">’ </w:t>
      </w:r>
      <w:r w:rsidRPr="00EF5F31">
        <w:rPr>
          <w:rFonts w:asciiTheme="minorHAnsi" w:hAnsiTheme="minorHAnsi" w:cs="Times New Roman"/>
          <w:sz w:val="23"/>
          <w:szCs w:val="23"/>
          <w:lang w:val="en-US"/>
        </w:rPr>
        <w:t xml:space="preserve">requires </w:t>
      </w:r>
      <w:r w:rsidR="00EF5F31" w:rsidRPr="00EF5F31">
        <w:rPr>
          <w:rFonts w:asciiTheme="minorHAnsi" w:hAnsiTheme="minorHAnsi" w:cs="Times New Roman"/>
          <w:sz w:val="23"/>
          <w:szCs w:val="23"/>
          <w:lang w:val="en-US"/>
        </w:rPr>
        <w:t xml:space="preserve">the Licensee (and any affiliate or related entity) to maintain separate </w:t>
      </w:r>
      <w:r w:rsidRPr="00EF5F31">
        <w:rPr>
          <w:rFonts w:asciiTheme="minorHAnsi" w:hAnsiTheme="minorHAnsi" w:cs="Times New Roman"/>
          <w:sz w:val="23"/>
          <w:szCs w:val="23"/>
          <w:lang w:val="en-US"/>
        </w:rPr>
        <w:t>accounting and reporting arrangement</w:t>
      </w:r>
      <w:r w:rsidR="00EF5F31" w:rsidRPr="00EF5F31">
        <w:rPr>
          <w:rFonts w:asciiTheme="minorHAnsi" w:hAnsiTheme="minorHAnsi" w:cs="Times New Roman"/>
          <w:sz w:val="23"/>
          <w:szCs w:val="23"/>
          <w:lang w:val="en-US"/>
        </w:rPr>
        <w:t>s. C</w:t>
      </w:r>
      <w:r w:rsidRPr="00EF5F31">
        <w:rPr>
          <w:rFonts w:asciiTheme="minorHAnsi" w:hAnsiTheme="minorHAnsi" w:cs="Times New Roman"/>
          <w:iCs/>
          <w:sz w:val="23"/>
          <w:szCs w:val="23"/>
          <w:lang w:val="en-US"/>
        </w:rPr>
        <w:t xml:space="preserve">ondition 3 </w:t>
      </w:r>
      <w:r w:rsidR="00EF5F31" w:rsidRPr="00EF5F31">
        <w:rPr>
          <w:rFonts w:asciiTheme="minorHAnsi" w:hAnsiTheme="minorHAnsi" w:cs="Times New Roman"/>
          <w:iCs/>
          <w:sz w:val="23"/>
          <w:szCs w:val="23"/>
          <w:lang w:val="en-US"/>
        </w:rPr>
        <w:t>‘</w:t>
      </w:r>
      <w:r w:rsidRPr="00EF5F31">
        <w:rPr>
          <w:rFonts w:asciiTheme="minorHAnsi" w:hAnsiTheme="minorHAnsi" w:cs="Times New Roman"/>
          <w:iCs/>
          <w:sz w:val="23"/>
          <w:szCs w:val="23"/>
          <w:lang w:val="en-US"/>
        </w:rPr>
        <w:t>Prohibition of Cross-Subsidies and of Discrimination</w:t>
      </w:r>
      <w:r w:rsidR="00EF5F31" w:rsidRPr="00EF5F31">
        <w:rPr>
          <w:rFonts w:asciiTheme="minorHAnsi" w:hAnsiTheme="minorHAnsi" w:cs="Times New Roman"/>
          <w:iCs/>
          <w:sz w:val="23"/>
          <w:szCs w:val="23"/>
          <w:lang w:val="en-US"/>
        </w:rPr>
        <w:t>’ prevents the Separate Businesses from</w:t>
      </w:r>
      <w:r w:rsidRPr="00EF5F31">
        <w:rPr>
          <w:rFonts w:asciiTheme="minorHAnsi" w:hAnsiTheme="minorHAnsi" w:cs="Times New Roman"/>
          <w:sz w:val="23"/>
          <w:szCs w:val="23"/>
          <w:lang w:val="en-US"/>
        </w:rPr>
        <w:t xml:space="preserve"> cross-</w:t>
      </w:r>
      <w:r w:rsidR="00EF5F31" w:rsidRPr="00EF5F31">
        <w:rPr>
          <w:rFonts w:asciiTheme="minorHAnsi" w:hAnsiTheme="minorHAnsi" w:cs="Times New Roman"/>
          <w:sz w:val="23"/>
          <w:szCs w:val="23"/>
          <w:lang w:val="en-US"/>
        </w:rPr>
        <w:t>subsidizing each other</w:t>
      </w:r>
      <w:r w:rsidRPr="00EF5F31">
        <w:rPr>
          <w:rFonts w:asciiTheme="minorHAnsi" w:hAnsiTheme="minorHAnsi" w:cs="Times New Roman"/>
          <w:sz w:val="23"/>
          <w:szCs w:val="23"/>
          <w:lang w:val="en-US"/>
        </w:rPr>
        <w:t>.</w:t>
      </w:r>
    </w:p>
    <w:p w:rsidR="00CE645D" w:rsidRDefault="00CE645D" w:rsidP="00CE645D">
      <w:pPr>
        <w:pStyle w:val="Default"/>
        <w:jc w:val="both"/>
        <w:rPr>
          <w:rFonts w:ascii="Times New Roman" w:hAnsi="Times New Roman" w:cs="Times New Roman"/>
          <w:lang w:val="en-US"/>
        </w:rPr>
      </w:pPr>
    </w:p>
    <w:p w:rsidR="00DA5BD9" w:rsidRPr="00AF181E" w:rsidRDefault="00DA5BD9" w:rsidP="00CE645D">
      <w:pPr>
        <w:pStyle w:val="Default"/>
        <w:jc w:val="both"/>
        <w:rPr>
          <w:rFonts w:asciiTheme="minorHAnsi" w:hAnsiTheme="minorHAnsi" w:cs="Arial"/>
          <w:sz w:val="23"/>
          <w:szCs w:val="23"/>
          <w:lang w:val="en-US"/>
        </w:rPr>
      </w:pPr>
      <w:r w:rsidRPr="00AF181E">
        <w:rPr>
          <w:rFonts w:asciiTheme="minorHAnsi" w:hAnsiTheme="minorHAnsi" w:cs="Arial"/>
          <w:sz w:val="23"/>
          <w:szCs w:val="23"/>
          <w:lang w:val="en-US"/>
        </w:rPr>
        <w:t xml:space="preserve">There are a number of other reasons why </w:t>
      </w:r>
      <w:r w:rsidR="00EF5F31">
        <w:rPr>
          <w:rFonts w:asciiTheme="minorHAnsi" w:hAnsiTheme="minorHAnsi" w:cs="Arial"/>
          <w:sz w:val="23"/>
          <w:szCs w:val="23"/>
          <w:lang w:val="en-US"/>
        </w:rPr>
        <w:t xml:space="preserve">further </w:t>
      </w:r>
      <w:r w:rsidRPr="00AF181E">
        <w:rPr>
          <w:rFonts w:asciiTheme="minorHAnsi" w:hAnsiTheme="minorHAnsi" w:cs="Arial"/>
          <w:sz w:val="23"/>
          <w:szCs w:val="23"/>
          <w:lang w:val="en-US"/>
        </w:rPr>
        <w:t>ringfencing is not considered appropriate:</w:t>
      </w:r>
    </w:p>
    <w:p w:rsidR="00DA5BD9" w:rsidRPr="00AF181E" w:rsidRDefault="00DA5BD9" w:rsidP="00E31E72">
      <w:pPr>
        <w:pStyle w:val="Default"/>
        <w:jc w:val="both"/>
        <w:rPr>
          <w:rFonts w:asciiTheme="minorHAnsi" w:hAnsiTheme="minorHAnsi"/>
          <w:sz w:val="23"/>
          <w:szCs w:val="23"/>
        </w:rPr>
      </w:pPr>
    </w:p>
    <w:p w:rsidR="000C005F" w:rsidRPr="00AF181E" w:rsidRDefault="00DA5BD9" w:rsidP="001214CC">
      <w:pPr>
        <w:pStyle w:val="ListParagraph"/>
        <w:numPr>
          <w:ilvl w:val="0"/>
          <w:numId w:val="12"/>
        </w:numPr>
        <w:autoSpaceDE w:val="0"/>
        <w:autoSpaceDN w:val="0"/>
        <w:adjustRightInd w:val="0"/>
        <w:jc w:val="both"/>
        <w:rPr>
          <w:rFonts w:asciiTheme="minorHAnsi" w:hAnsiTheme="minorHAnsi"/>
          <w:b/>
          <w:sz w:val="23"/>
          <w:szCs w:val="23"/>
        </w:rPr>
      </w:pPr>
      <w:r w:rsidRPr="00AF181E">
        <w:rPr>
          <w:rFonts w:asciiTheme="minorHAnsi" w:hAnsiTheme="minorHAnsi" w:cs="Calibri"/>
          <w:sz w:val="23"/>
          <w:szCs w:val="23"/>
        </w:rPr>
        <w:t xml:space="preserve">Prior to cancellation of 476 MW of the Kilroot capacity on 1 November 2010 NIEE </w:t>
      </w:r>
      <w:r w:rsidR="00EF5F31">
        <w:rPr>
          <w:rFonts w:asciiTheme="minorHAnsi" w:hAnsiTheme="minorHAnsi" w:cs="Calibri"/>
          <w:sz w:val="23"/>
          <w:szCs w:val="23"/>
        </w:rPr>
        <w:t xml:space="preserve">PPB </w:t>
      </w:r>
      <w:r w:rsidRPr="00AF181E">
        <w:rPr>
          <w:rFonts w:asciiTheme="minorHAnsi" w:hAnsiTheme="minorHAnsi" w:cs="Calibri"/>
          <w:sz w:val="23"/>
          <w:szCs w:val="23"/>
        </w:rPr>
        <w:t xml:space="preserve">controlled 1,460 MW (Ballylumford 873 MW, Kilroot 534 MW and Coolkeeragh 53 MW) of capacity from three different generators under </w:t>
      </w:r>
      <w:r w:rsidR="000C005F" w:rsidRPr="00AF181E">
        <w:rPr>
          <w:rFonts w:asciiTheme="minorHAnsi" w:hAnsiTheme="minorHAnsi" w:cs="Calibri"/>
          <w:sz w:val="23"/>
          <w:szCs w:val="23"/>
        </w:rPr>
        <w:t>three different IAs</w:t>
      </w:r>
      <w:r w:rsidRPr="00AF181E">
        <w:rPr>
          <w:rFonts w:asciiTheme="minorHAnsi" w:hAnsiTheme="minorHAnsi" w:cs="Calibri"/>
          <w:sz w:val="23"/>
          <w:szCs w:val="23"/>
        </w:rPr>
        <w:t xml:space="preserve">. As it has never been considered necessary </w:t>
      </w:r>
      <w:r w:rsidR="004801F7" w:rsidRPr="00AF181E">
        <w:rPr>
          <w:rFonts w:asciiTheme="minorHAnsi" w:hAnsiTheme="minorHAnsi" w:cs="Calibri"/>
          <w:sz w:val="23"/>
          <w:szCs w:val="23"/>
        </w:rPr>
        <w:t>to direct</w:t>
      </w:r>
      <w:r w:rsidRPr="00AF181E">
        <w:rPr>
          <w:rFonts w:asciiTheme="minorHAnsi" w:hAnsiTheme="minorHAnsi" w:cs="Calibri"/>
          <w:sz w:val="23"/>
          <w:szCs w:val="23"/>
        </w:rPr>
        <w:t xml:space="preserve"> NIEE </w:t>
      </w:r>
      <w:r w:rsidR="00EF5F31">
        <w:rPr>
          <w:rFonts w:asciiTheme="minorHAnsi" w:hAnsiTheme="minorHAnsi" w:cs="Calibri"/>
          <w:sz w:val="23"/>
          <w:szCs w:val="23"/>
        </w:rPr>
        <w:t xml:space="preserve">PPB </w:t>
      </w:r>
      <w:r w:rsidRPr="00AF181E">
        <w:rPr>
          <w:rFonts w:asciiTheme="minorHAnsi" w:hAnsiTheme="minorHAnsi" w:cs="Calibri"/>
          <w:sz w:val="23"/>
          <w:szCs w:val="23"/>
        </w:rPr>
        <w:t>to ring fence the data and bid construction for the three different generators</w:t>
      </w:r>
      <w:r w:rsidR="004801F7" w:rsidRPr="00AF181E">
        <w:rPr>
          <w:rFonts w:asciiTheme="minorHAnsi" w:hAnsiTheme="minorHAnsi" w:cs="Calibri"/>
          <w:sz w:val="23"/>
          <w:szCs w:val="23"/>
        </w:rPr>
        <w:t xml:space="preserve"> it is impossible to see why ring fencing should be required for the Ballylumford and Kilroot units g</w:t>
      </w:r>
      <w:r w:rsidRPr="00AF181E">
        <w:rPr>
          <w:rFonts w:asciiTheme="minorHAnsi" w:hAnsiTheme="minorHAnsi" w:cs="Calibri"/>
          <w:sz w:val="23"/>
          <w:szCs w:val="23"/>
        </w:rPr>
        <w:t>iven that AES only has 900 MW of uncontracted capacity</w:t>
      </w:r>
      <w:r w:rsidR="004801F7" w:rsidRPr="00AF181E">
        <w:rPr>
          <w:rFonts w:asciiTheme="minorHAnsi" w:hAnsiTheme="minorHAnsi" w:cs="Calibri"/>
          <w:sz w:val="23"/>
          <w:szCs w:val="23"/>
        </w:rPr>
        <w:t xml:space="preserve"> which is very similar to the 873 MW of Ballylumford contracted capacity managed by NIEE </w:t>
      </w:r>
      <w:r w:rsidR="00411BA7">
        <w:rPr>
          <w:rFonts w:asciiTheme="minorHAnsi" w:hAnsiTheme="minorHAnsi" w:cs="Calibri"/>
          <w:sz w:val="23"/>
          <w:szCs w:val="23"/>
        </w:rPr>
        <w:t xml:space="preserve">PPB </w:t>
      </w:r>
      <w:r w:rsidR="004801F7" w:rsidRPr="00AF181E">
        <w:rPr>
          <w:rFonts w:asciiTheme="minorHAnsi" w:hAnsiTheme="minorHAnsi" w:cs="Calibri"/>
          <w:sz w:val="23"/>
          <w:szCs w:val="23"/>
        </w:rPr>
        <w:t>and significantly less than the 1,460 MW of capacity previously managed by NIEE</w:t>
      </w:r>
      <w:r w:rsidR="00411BA7">
        <w:rPr>
          <w:rFonts w:asciiTheme="minorHAnsi" w:hAnsiTheme="minorHAnsi" w:cs="Calibri"/>
          <w:sz w:val="23"/>
          <w:szCs w:val="23"/>
        </w:rPr>
        <w:t xml:space="preserve"> PPB</w:t>
      </w:r>
      <w:r w:rsidRPr="00AF181E">
        <w:rPr>
          <w:rFonts w:asciiTheme="minorHAnsi" w:hAnsiTheme="minorHAnsi" w:cs="Calibri"/>
          <w:sz w:val="23"/>
          <w:szCs w:val="23"/>
        </w:rPr>
        <w:t>.</w:t>
      </w:r>
    </w:p>
    <w:p w:rsidR="00114199" w:rsidRPr="00AF181E" w:rsidRDefault="000C005F" w:rsidP="001214CC">
      <w:pPr>
        <w:pStyle w:val="ListParagraph"/>
        <w:numPr>
          <w:ilvl w:val="0"/>
          <w:numId w:val="12"/>
        </w:numPr>
        <w:autoSpaceDE w:val="0"/>
        <w:autoSpaceDN w:val="0"/>
        <w:adjustRightInd w:val="0"/>
        <w:jc w:val="both"/>
        <w:rPr>
          <w:rFonts w:asciiTheme="minorHAnsi" w:hAnsiTheme="minorHAnsi"/>
          <w:sz w:val="23"/>
          <w:szCs w:val="23"/>
        </w:rPr>
      </w:pPr>
      <w:r w:rsidRPr="00AF181E">
        <w:rPr>
          <w:rFonts w:asciiTheme="minorHAnsi" w:hAnsiTheme="minorHAnsi"/>
          <w:sz w:val="23"/>
          <w:szCs w:val="23"/>
        </w:rPr>
        <w:t xml:space="preserve">The </w:t>
      </w:r>
      <w:r w:rsidR="00411BA7">
        <w:rPr>
          <w:rFonts w:asciiTheme="minorHAnsi" w:hAnsiTheme="minorHAnsi"/>
          <w:sz w:val="23"/>
          <w:szCs w:val="23"/>
        </w:rPr>
        <w:t>AES KPL</w:t>
      </w:r>
      <w:r w:rsidRPr="00AF181E">
        <w:rPr>
          <w:rFonts w:asciiTheme="minorHAnsi" w:hAnsiTheme="minorHAnsi"/>
          <w:sz w:val="23"/>
          <w:szCs w:val="23"/>
        </w:rPr>
        <w:t xml:space="preserve"> and </w:t>
      </w:r>
      <w:r w:rsidR="00411BA7">
        <w:rPr>
          <w:rFonts w:asciiTheme="minorHAnsi" w:hAnsiTheme="minorHAnsi"/>
          <w:sz w:val="23"/>
          <w:szCs w:val="23"/>
        </w:rPr>
        <w:t>AES BL</w:t>
      </w:r>
      <w:r w:rsidRPr="00AF181E">
        <w:rPr>
          <w:rFonts w:asciiTheme="minorHAnsi" w:hAnsiTheme="minorHAnsi"/>
          <w:sz w:val="23"/>
          <w:szCs w:val="23"/>
        </w:rPr>
        <w:t xml:space="preserve"> </w:t>
      </w:r>
      <w:r w:rsidR="00A43F35">
        <w:rPr>
          <w:rFonts w:asciiTheme="minorHAnsi" w:hAnsiTheme="minorHAnsi"/>
          <w:sz w:val="23"/>
          <w:szCs w:val="23"/>
        </w:rPr>
        <w:t>Generation L</w:t>
      </w:r>
      <w:r w:rsidRPr="00AF181E">
        <w:rPr>
          <w:rFonts w:asciiTheme="minorHAnsi" w:hAnsiTheme="minorHAnsi"/>
          <w:sz w:val="23"/>
          <w:szCs w:val="23"/>
        </w:rPr>
        <w:t>icences already include a requirement to annually certify that Commercial Offer Data has been submitted independently and that their submissions have not been co-ordinated wi</w:t>
      </w:r>
      <w:r w:rsidR="00EF1547" w:rsidRPr="00AF181E">
        <w:rPr>
          <w:rFonts w:asciiTheme="minorHAnsi" w:hAnsiTheme="minorHAnsi"/>
          <w:sz w:val="23"/>
          <w:szCs w:val="23"/>
        </w:rPr>
        <w:t xml:space="preserve">th another party. </w:t>
      </w:r>
      <w:r w:rsidR="00114199" w:rsidRPr="00AF181E">
        <w:rPr>
          <w:rFonts w:asciiTheme="minorHAnsi" w:hAnsiTheme="minorHAnsi"/>
          <w:sz w:val="23"/>
          <w:szCs w:val="23"/>
        </w:rPr>
        <w:t xml:space="preserve">Condition 17 (11) </w:t>
      </w:r>
      <w:r w:rsidR="00EF1547" w:rsidRPr="00AF181E">
        <w:rPr>
          <w:rFonts w:asciiTheme="minorHAnsi" w:hAnsiTheme="minorHAnsi"/>
          <w:sz w:val="23"/>
          <w:szCs w:val="23"/>
        </w:rPr>
        <w:t>of the licences (which applies</w:t>
      </w:r>
      <w:r w:rsidR="00114199" w:rsidRPr="00AF181E">
        <w:rPr>
          <w:rFonts w:asciiTheme="minorHAnsi" w:hAnsiTheme="minorHAnsi"/>
          <w:sz w:val="23"/>
          <w:szCs w:val="23"/>
        </w:rPr>
        <w:t xml:space="preserve"> to </w:t>
      </w:r>
      <w:r w:rsidR="00EF1547" w:rsidRPr="00AF181E">
        <w:rPr>
          <w:rFonts w:asciiTheme="minorHAnsi" w:hAnsiTheme="minorHAnsi"/>
          <w:sz w:val="23"/>
          <w:szCs w:val="23"/>
        </w:rPr>
        <w:t xml:space="preserve">the </w:t>
      </w:r>
      <w:r w:rsidR="00114199" w:rsidRPr="00AF181E">
        <w:rPr>
          <w:rFonts w:asciiTheme="minorHAnsi" w:hAnsiTheme="minorHAnsi"/>
          <w:sz w:val="23"/>
          <w:szCs w:val="23"/>
        </w:rPr>
        <w:t>uncontracted plant</w:t>
      </w:r>
      <w:r w:rsidR="00EF1547" w:rsidRPr="00AF181E">
        <w:rPr>
          <w:rFonts w:asciiTheme="minorHAnsi" w:hAnsiTheme="minorHAnsi"/>
          <w:sz w:val="23"/>
          <w:szCs w:val="23"/>
        </w:rPr>
        <w:t>) states</w:t>
      </w:r>
      <w:r w:rsidR="00020450" w:rsidRPr="00AF181E">
        <w:rPr>
          <w:rFonts w:asciiTheme="minorHAnsi" w:hAnsiTheme="minorHAnsi"/>
          <w:sz w:val="23"/>
          <w:szCs w:val="23"/>
        </w:rPr>
        <w:t xml:space="preserve"> </w:t>
      </w:r>
    </w:p>
    <w:p w:rsidR="00114199" w:rsidRPr="00AF181E" w:rsidRDefault="00114199" w:rsidP="004E3F49">
      <w:pPr>
        <w:pStyle w:val="Default"/>
        <w:jc w:val="both"/>
        <w:rPr>
          <w:rFonts w:asciiTheme="minorHAnsi" w:hAnsiTheme="minorHAnsi"/>
          <w:sz w:val="23"/>
          <w:szCs w:val="23"/>
        </w:rPr>
      </w:pPr>
    </w:p>
    <w:p w:rsidR="00114199" w:rsidRPr="00AF181E" w:rsidRDefault="00114199" w:rsidP="00411BA7">
      <w:pPr>
        <w:pStyle w:val="Default"/>
        <w:ind w:left="1440" w:right="720"/>
        <w:jc w:val="both"/>
        <w:rPr>
          <w:rFonts w:asciiTheme="minorHAnsi" w:hAnsiTheme="minorHAnsi"/>
          <w:sz w:val="23"/>
          <w:szCs w:val="23"/>
        </w:rPr>
      </w:pPr>
      <w:r w:rsidRPr="00AF181E">
        <w:rPr>
          <w:rFonts w:asciiTheme="minorHAnsi" w:hAnsiTheme="minorHAnsi"/>
          <w:sz w:val="23"/>
          <w:szCs w:val="23"/>
        </w:rPr>
        <w:t xml:space="preserve">“The Licensee shall by 1 June in each year submit to the Authority a certificate, signed by at least one director on behalf of the board of directors of the Licensee, to confirm that during the period of twelve months ending on the preceding 31 March: </w:t>
      </w:r>
    </w:p>
    <w:p w:rsidR="00114199" w:rsidRPr="00AF181E" w:rsidRDefault="00114199" w:rsidP="00411BA7">
      <w:pPr>
        <w:pStyle w:val="Default"/>
        <w:numPr>
          <w:ilvl w:val="0"/>
          <w:numId w:val="17"/>
        </w:numPr>
        <w:ind w:right="720"/>
        <w:jc w:val="both"/>
        <w:rPr>
          <w:rFonts w:asciiTheme="minorHAnsi" w:hAnsiTheme="minorHAnsi"/>
          <w:sz w:val="23"/>
          <w:szCs w:val="23"/>
        </w:rPr>
      </w:pPr>
      <w:r w:rsidRPr="00AF181E">
        <w:rPr>
          <w:rFonts w:asciiTheme="minorHAnsi" w:hAnsiTheme="minorHAnsi"/>
          <w:sz w:val="23"/>
          <w:szCs w:val="23"/>
        </w:rPr>
        <w:t xml:space="preserve">it has acted independently in relation to all submissions of Commercial Offer Data that have been made, by it or on its behalf, </w:t>
      </w:r>
      <w:r w:rsidRPr="00AF181E">
        <w:rPr>
          <w:rFonts w:asciiTheme="minorHAnsi" w:hAnsiTheme="minorHAnsi"/>
          <w:sz w:val="23"/>
          <w:szCs w:val="23"/>
        </w:rPr>
        <w:lastRenderedPageBreak/>
        <w:t xml:space="preserve">under the Single Electricity Market Trading and Settlement Code; and </w:t>
      </w:r>
    </w:p>
    <w:p w:rsidR="00114199" w:rsidRPr="00AF181E" w:rsidRDefault="00114199" w:rsidP="00411BA7">
      <w:pPr>
        <w:pStyle w:val="Default"/>
        <w:numPr>
          <w:ilvl w:val="0"/>
          <w:numId w:val="17"/>
        </w:numPr>
        <w:ind w:right="720"/>
        <w:jc w:val="both"/>
        <w:rPr>
          <w:rFonts w:asciiTheme="minorHAnsi" w:hAnsiTheme="minorHAnsi"/>
          <w:sz w:val="23"/>
          <w:szCs w:val="23"/>
        </w:rPr>
      </w:pPr>
      <w:r w:rsidRPr="00AF181E">
        <w:rPr>
          <w:rFonts w:asciiTheme="minorHAnsi" w:hAnsiTheme="minorHAnsi"/>
          <w:sz w:val="23"/>
          <w:szCs w:val="23"/>
        </w:rPr>
        <w:t>no such submissions made by it or on its behalf have been co-ordinated with any other submissions made by or on behalf of any other party to the Code.”</w:t>
      </w:r>
    </w:p>
    <w:p w:rsidR="00BE2843" w:rsidRPr="00AF181E" w:rsidRDefault="00BE2843" w:rsidP="004E3F49">
      <w:pPr>
        <w:pStyle w:val="Default"/>
        <w:jc w:val="both"/>
        <w:rPr>
          <w:rFonts w:asciiTheme="minorHAnsi" w:hAnsiTheme="minorHAnsi"/>
          <w:sz w:val="23"/>
          <w:szCs w:val="23"/>
        </w:rPr>
      </w:pPr>
    </w:p>
    <w:p w:rsidR="00EF1547" w:rsidRDefault="008D2F8A" w:rsidP="001214CC">
      <w:pPr>
        <w:pStyle w:val="ListParagraph"/>
        <w:numPr>
          <w:ilvl w:val="0"/>
          <w:numId w:val="12"/>
        </w:numPr>
        <w:autoSpaceDE w:val="0"/>
        <w:autoSpaceDN w:val="0"/>
        <w:adjustRightInd w:val="0"/>
        <w:jc w:val="both"/>
        <w:rPr>
          <w:rFonts w:asciiTheme="minorHAnsi" w:hAnsiTheme="minorHAnsi" w:cs="Arial"/>
          <w:color w:val="000000"/>
          <w:sz w:val="23"/>
          <w:szCs w:val="23"/>
        </w:rPr>
      </w:pPr>
      <w:r w:rsidRPr="00AF181E">
        <w:rPr>
          <w:rFonts w:asciiTheme="minorHAnsi" w:hAnsiTheme="minorHAnsi"/>
          <w:sz w:val="23"/>
          <w:szCs w:val="23"/>
        </w:rPr>
        <w:t>It</w:t>
      </w:r>
      <w:r w:rsidR="00EF1547" w:rsidRPr="00AF181E">
        <w:rPr>
          <w:rFonts w:asciiTheme="minorHAnsi" w:hAnsiTheme="minorHAnsi" w:cs="Arial"/>
          <w:color w:val="000000"/>
          <w:sz w:val="23"/>
          <w:szCs w:val="23"/>
        </w:rPr>
        <w:t xml:space="preserve"> would discriminate against AES as there are already a number of ownership groups in the SEM which are not required to ring fence their individual generation businesses such as ESB PG, NIEE PPB, Endessa, and BGE</w:t>
      </w:r>
      <w:r w:rsidR="00AC5681" w:rsidRPr="00AF181E">
        <w:rPr>
          <w:rFonts w:asciiTheme="minorHAnsi" w:hAnsiTheme="minorHAnsi" w:cs="Arial"/>
          <w:color w:val="000000"/>
          <w:sz w:val="23"/>
          <w:szCs w:val="23"/>
        </w:rPr>
        <w:t>.</w:t>
      </w:r>
      <w:r w:rsidR="00EF1547" w:rsidRPr="00AF181E">
        <w:rPr>
          <w:rFonts w:asciiTheme="minorHAnsi" w:hAnsiTheme="minorHAnsi" w:cs="Arial"/>
          <w:color w:val="000000"/>
          <w:sz w:val="23"/>
          <w:szCs w:val="23"/>
        </w:rPr>
        <w:t xml:space="preserve"> </w:t>
      </w:r>
    </w:p>
    <w:p w:rsidR="00411BA7" w:rsidRPr="00AF181E" w:rsidRDefault="00411BA7" w:rsidP="00411BA7">
      <w:pPr>
        <w:pStyle w:val="ListParagraph"/>
        <w:autoSpaceDE w:val="0"/>
        <w:autoSpaceDN w:val="0"/>
        <w:adjustRightInd w:val="0"/>
        <w:jc w:val="both"/>
        <w:rPr>
          <w:rFonts w:asciiTheme="minorHAnsi" w:hAnsiTheme="minorHAnsi" w:cs="Arial"/>
          <w:color w:val="000000"/>
          <w:sz w:val="23"/>
          <w:szCs w:val="23"/>
        </w:rPr>
      </w:pPr>
    </w:p>
    <w:p w:rsidR="00B42CE4" w:rsidRDefault="00411BA7" w:rsidP="00B42CE4">
      <w:pPr>
        <w:pStyle w:val="Default"/>
        <w:jc w:val="both"/>
        <w:rPr>
          <w:rFonts w:asciiTheme="minorHAnsi" w:hAnsiTheme="minorHAnsi"/>
          <w:sz w:val="23"/>
          <w:szCs w:val="23"/>
        </w:rPr>
      </w:pPr>
      <w:r>
        <w:rPr>
          <w:rFonts w:asciiTheme="minorHAnsi" w:hAnsiTheme="minorHAnsi" w:cs="Calibri"/>
          <w:sz w:val="23"/>
          <w:szCs w:val="23"/>
        </w:rPr>
        <w:t>As note</w:t>
      </w:r>
      <w:r w:rsidR="00A43F35">
        <w:rPr>
          <w:rFonts w:asciiTheme="minorHAnsi" w:hAnsiTheme="minorHAnsi" w:cs="Calibri"/>
          <w:sz w:val="23"/>
          <w:szCs w:val="23"/>
        </w:rPr>
        <w:t>d</w:t>
      </w:r>
      <w:r>
        <w:rPr>
          <w:rFonts w:asciiTheme="minorHAnsi" w:hAnsiTheme="minorHAnsi" w:cs="Calibri"/>
          <w:sz w:val="23"/>
          <w:szCs w:val="23"/>
        </w:rPr>
        <w:t xml:space="preserve"> under the DC Section </w:t>
      </w:r>
      <w:r w:rsidR="00A43F35">
        <w:rPr>
          <w:rFonts w:asciiTheme="minorHAnsi" w:hAnsiTheme="minorHAnsi" w:cs="Calibri"/>
          <w:sz w:val="23"/>
          <w:szCs w:val="23"/>
        </w:rPr>
        <w:t xml:space="preserve">above (Section 3.3.4) </w:t>
      </w:r>
      <w:r>
        <w:rPr>
          <w:rFonts w:asciiTheme="minorHAnsi" w:hAnsiTheme="minorHAnsi" w:cs="Calibri"/>
          <w:sz w:val="23"/>
          <w:szCs w:val="23"/>
        </w:rPr>
        <w:t xml:space="preserve">the alteration of </w:t>
      </w:r>
      <w:r w:rsidR="00A43F35">
        <w:rPr>
          <w:rFonts w:asciiTheme="minorHAnsi" w:hAnsiTheme="minorHAnsi" w:cs="Calibri"/>
          <w:sz w:val="23"/>
          <w:szCs w:val="23"/>
        </w:rPr>
        <w:t>G</w:t>
      </w:r>
      <w:r>
        <w:rPr>
          <w:rFonts w:asciiTheme="minorHAnsi" w:hAnsiTheme="minorHAnsi" w:cs="Calibri"/>
          <w:sz w:val="23"/>
          <w:szCs w:val="23"/>
        </w:rPr>
        <w:t>enerati</w:t>
      </w:r>
      <w:r w:rsidR="00A43F35">
        <w:rPr>
          <w:rFonts w:asciiTheme="minorHAnsi" w:hAnsiTheme="minorHAnsi" w:cs="Calibri"/>
          <w:sz w:val="23"/>
          <w:szCs w:val="23"/>
        </w:rPr>
        <w:t>o</w:t>
      </w:r>
      <w:r>
        <w:rPr>
          <w:rFonts w:asciiTheme="minorHAnsi" w:hAnsiTheme="minorHAnsi" w:cs="Calibri"/>
          <w:sz w:val="23"/>
          <w:szCs w:val="23"/>
        </w:rPr>
        <w:t xml:space="preserve">n </w:t>
      </w:r>
      <w:r w:rsidR="00A43F35">
        <w:rPr>
          <w:rFonts w:asciiTheme="minorHAnsi" w:hAnsiTheme="minorHAnsi" w:cs="Calibri"/>
          <w:sz w:val="23"/>
          <w:szCs w:val="23"/>
        </w:rPr>
        <w:t>L</w:t>
      </w:r>
      <w:r>
        <w:rPr>
          <w:rFonts w:asciiTheme="minorHAnsi" w:hAnsiTheme="minorHAnsi" w:cs="Calibri"/>
          <w:sz w:val="23"/>
          <w:szCs w:val="23"/>
        </w:rPr>
        <w:t>icences is likely to increase regulatory risk in the market, raise the cost of capital and potentially deter entry.</w:t>
      </w:r>
      <w:r w:rsidRPr="00AF181E" w:rsidDel="00411BA7">
        <w:rPr>
          <w:rFonts w:asciiTheme="minorHAnsi" w:hAnsiTheme="minorHAnsi" w:cs="Arial"/>
          <w:sz w:val="23"/>
          <w:szCs w:val="23"/>
        </w:rPr>
        <w:t xml:space="preserve"> </w:t>
      </w:r>
      <w:r w:rsidR="00B42CE4" w:rsidRPr="00AF181E">
        <w:rPr>
          <w:rFonts w:asciiTheme="minorHAnsi" w:hAnsiTheme="minorHAnsi"/>
          <w:sz w:val="23"/>
          <w:szCs w:val="23"/>
        </w:rPr>
        <w:t xml:space="preserve">AES therefore strongly disagrees with the view that there is a need for further market power mitigation measures. </w:t>
      </w:r>
    </w:p>
    <w:p w:rsidR="00EF4F94" w:rsidRPr="00AF181E" w:rsidRDefault="00EF4F94" w:rsidP="00B42CE4">
      <w:pPr>
        <w:pStyle w:val="Default"/>
        <w:jc w:val="both"/>
        <w:rPr>
          <w:rFonts w:asciiTheme="minorHAnsi" w:hAnsiTheme="minorHAnsi"/>
          <w:sz w:val="23"/>
          <w:szCs w:val="23"/>
        </w:rPr>
      </w:pPr>
    </w:p>
    <w:p w:rsidR="00C37D72" w:rsidRPr="00AF181E" w:rsidRDefault="00C37D72" w:rsidP="004E3F49">
      <w:pPr>
        <w:pStyle w:val="Default"/>
        <w:jc w:val="both"/>
        <w:rPr>
          <w:rFonts w:asciiTheme="minorHAnsi" w:hAnsiTheme="minorHAnsi"/>
          <w:sz w:val="23"/>
          <w:szCs w:val="23"/>
        </w:rPr>
      </w:pPr>
    </w:p>
    <w:p w:rsidR="00261ED3" w:rsidRPr="00EE3E31" w:rsidRDefault="00EE3E31" w:rsidP="004E3F49">
      <w:pPr>
        <w:pStyle w:val="Default"/>
        <w:jc w:val="both"/>
        <w:rPr>
          <w:rFonts w:asciiTheme="minorHAnsi" w:hAnsiTheme="minorHAnsi"/>
          <w:b/>
          <w:sz w:val="26"/>
          <w:szCs w:val="26"/>
        </w:rPr>
      </w:pPr>
      <w:r w:rsidRPr="00EE3E31">
        <w:rPr>
          <w:rFonts w:asciiTheme="minorHAnsi" w:hAnsiTheme="minorHAnsi"/>
          <w:b/>
          <w:sz w:val="26"/>
          <w:szCs w:val="26"/>
        </w:rPr>
        <w:t>3.4</w:t>
      </w:r>
      <w:r>
        <w:rPr>
          <w:rFonts w:asciiTheme="minorHAnsi" w:hAnsiTheme="minorHAnsi"/>
          <w:b/>
          <w:sz w:val="26"/>
          <w:szCs w:val="26"/>
        </w:rPr>
        <w:tab/>
      </w:r>
      <w:r w:rsidRPr="00EE3E31">
        <w:rPr>
          <w:rFonts w:asciiTheme="minorHAnsi" w:hAnsiTheme="minorHAnsi"/>
          <w:b/>
          <w:sz w:val="26"/>
          <w:szCs w:val="26"/>
        </w:rPr>
        <w:t xml:space="preserve"> </w:t>
      </w:r>
      <w:r w:rsidR="005A508A" w:rsidRPr="00EE3E31">
        <w:rPr>
          <w:rFonts w:asciiTheme="minorHAnsi" w:hAnsiTheme="minorHAnsi"/>
          <w:b/>
          <w:sz w:val="26"/>
          <w:szCs w:val="26"/>
        </w:rPr>
        <w:t>Additional Local Market Power Mitigation Measures</w:t>
      </w:r>
      <w:r w:rsidR="006B3D60" w:rsidRPr="00EE3E31">
        <w:rPr>
          <w:rFonts w:asciiTheme="minorHAnsi" w:hAnsiTheme="minorHAnsi"/>
          <w:b/>
          <w:sz w:val="26"/>
          <w:szCs w:val="26"/>
        </w:rPr>
        <w:t xml:space="preserve"> </w:t>
      </w:r>
    </w:p>
    <w:p w:rsidR="005A508A" w:rsidRPr="00AF181E" w:rsidRDefault="005A508A" w:rsidP="004E3F49">
      <w:pPr>
        <w:pStyle w:val="Default"/>
        <w:jc w:val="both"/>
        <w:rPr>
          <w:rFonts w:asciiTheme="minorHAnsi" w:hAnsiTheme="minorHAnsi"/>
          <w:b/>
          <w:sz w:val="23"/>
          <w:szCs w:val="23"/>
        </w:rPr>
      </w:pPr>
    </w:p>
    <w:p w:rsidR="005A508A" w:rsidRPr="00AF181E" w:rsidRDefault="005A508A" w:rsidP="005A508A">
      <w:pPr>
        <w:pStyle w:val="Default"/>
        <w:jc w:val="both"/>
        <w:rPr>
          <w:rFonts w:asciiTheme="minorHAnsi" w:hAnsiTheme="minorHAnsi" w:cs="Arial"/>
          <w:sz w:val="23"/>
          <w:szCs w:val="23"/>
          <w:lang w:val="en-US"/>
        </w:rPr>
      </w:pPr>
      <w:r w:rsidRPr="00AF181E">
        <w:rPr>
          <w:rFonts w:asciiTheme="minorHAnsi" w:hAnsiTheme="minorHAnsi"/>
          <w:sz w:val="23"/>
          <w:szCs w:val="23"/>
        </w:rPr>
        <w:t>AES considers that the existing local market power controls are more than adequate and that there is no need for any further measures. Indeed</w:t>
      </w:r>
      <w:r w:rsidRPr="00AF181E">
        <w:rPr>
          <w:rFonts w:asciiTheme="minorHAnsi" w:hAnsiTheme="minorHAnsi" w:cs="Arial"/>
          <w:sz w:val="23"/>
          <w:szCs w:val="23"/>
          <w:lang w:val="en-US"/>
        </w:rPr>
        <w:t xml:space="preserve"> the primary market mitigation measures (Bidding Code of Practice and MM</w:t>
      </w:r>
      <w:r w:rsidR="00411BA7">
        <w:rPr>
          <w:rFonts w:asciiTheme="minorHAnsi" w:hAnsiTheme="minorHAnsi" w:cs="Arial"/>
          <w:sz w:val="23"/>
          <w:szCs w:val="23"/>
          <w:lang w:val="en-US"/>
        </w:rPr>
        <w:t>U</w:t>
      </w:r>
      <w:r w:rsidRPr="00AF181E">
        <w:rPr>
          <w:rFonts w:asciiTheme="minorHAnsi" w:hAnsiTheme="minorHAnsi" w:cs="Arial"/>
          <w:sz w:val="23"/>
          <w:szCs w:val="23"/>
          <w:lang w:val="en-US"/>
        </w:rPr>
        <w:t>)</w:t>
      </w:r>
      <w:r w:rsidR="00411BA7">
        <w:rPr>
          <w:rFonts w:asciiTheme="minorHAnsi" w:hAnsiTheme="minorHAnsi" w:cs="Arial"/>
          <w:sz w:val="23"/>
          <w:szCs w:val="23"/>
          <w:lang w:val="en-US"/>
        </w:rPr>
        <w:t xml:space="preserve"> and generating licence conditions</w:t>
      </w:r>
      <w:r w:rsidRPr="00AF181E">
        <w:rPr>
          <w:rFonts w:asciiTheme="minorHAnsi" w:hAnsiTheme="minorHAnsi" w:cs="Arial"/>
          <w:sz w:val="23"/>
          <w:szCs w:val="23"/>
          <w:lang w:val="en-US"/>
        </w:rPr>
        <w:t xml:space="preserve"> have been so effective in preventing market abuse that the RAs have not (as far as AES is aware) had to implement the further local market power controls (capping of constraint payments and Reliability Must-Run contracts) at their disposal.</w:t>
      </w:r>
    </w:p>
    <w:p w:rsidR="005A508A" w:rsidRPr="00AF181E" w:rsidRDefault="005A508A" w:rsidP="004E3F49">
      <w:pPr>
        <w:pStyle w:val="Default"/>
        <w:jc w:val="both"/>
        <w:rPr>
          <w:rFonts w:asciiTheme="minorHAnsi" w:hAnsiTheme="minorHAnsi"/>
          <w:b/>
          <w:sz w:val="23"/>
          <w:szCs w:val="23"/>
        </w:rPr>
      </w:pPr>
    </w:p>
    <w:p w:rsidR="00BC0FEF" w:rsidRPr="00AF181E" w:rsidRDefault="00BC0FEF" w:rsidP="00B545E6">
      <w:pPr>
        <w:pStyle w:val="Default"/>
        <w:jc w:val="both"/>
        <w:rPr>
          <w:rFonts w:asciiTheme="minorHAnsi" w:hAnsiTheme="minorHAnsi"/>
          <w:b/>
          <w:sz w:val="23"/>
          <w:szCs w:val="23"/>
        </w:rPr>
      </w:pPr>
    </w:p>
    <w:sectPr w:rsidR="00BC0FEF" w:rsidRPr="00AF181E" w:rsidSect="005A724F">
      <w:pgSz w:w="11906" w:h="17338"/>
      <w:pgMar w:top="1886" w:right="1063" w:bottom="995" w:left="1487"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00D8" w:rsidRDefault="001600D8" w:rsidP="008E6E41">
      <w:pPr>
        <w:spacing w:after="0" w:line="240" w:lineRule="auto"/>
      </w:pPr>
      <w:r>
        <w:separator/>
      </w:r>
    </w:p>
  </w:endnote>
  <w:endnote w:type="continuationSeparator" w:id="1">
    <w:p w:rsidR="001600D8" w:rsidRDefault="001600D8" w:rsidP="008E6E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SimSun">
    <w:altName w:val="Arial Unicode MS"/>
    <w:panose1 w:val="02010600030101010101"/>
    <w:charset w:val="86"/>
    <w:family w:val="auto"/>
    <w:notTrueType/>
    <w:pitch w:val="variable"/>
    <w:sig w:usb0="00000000" w:usb1="080E0000" w:usb2="00000010" w:usb3="00000000" w:csb0="00040000" w:csb1="00000000"/>
  </w:font>
  <w:font w:name="Simplified Arabic">
    <w:altName w:val="Times New Roman"/>
    <w:panose1 w:val="02010000000000000000"/>
    <w:charset w:val="B2"/>
    <w:family w:val="auto"/>
    <w:pitch w:val="variable"/>
    <w:sig w:usb0="00002000" w:usb1="00000000" w:usb2="00000000" w:usb3="00000000" w:csb0="00000040" w:csb1="00000000"/>
  </w:font>
  <w:font w:name="Arial">
    <w:panose1 w:val="020B0604020202020204"/>
    <w:charset w:val="00"/>
    <w:family w:val="swiss"/>
    <w:pitch w:val="variable"/>
    <w:sig w:usb0="20002A87" w:usb1="00000000" w:usb2="00000000" w:usb3="00000000" w:csb0="000001FF" w:csb1="00000000"/>
  </w:font>
  <w:font w:name="Calibri-Bold">
    <w:panose1 w:val="00000000000000000000"/>
    <w:charset w:val="00"/>
    <w:family w:val="swiss"/>
    <w:notTrueType/>
    <w:pitch w:val="default"/>
    <w:sig w:usb0="00000003" w:usb1="00000000" w:usb2="00000000" w:usb3="00000000" w:csb0="00000001" w:csb1="00000000"/>
  </w:font>
  <w:font w:name="Garamond">
    <w:altName w:val="Garamond"/>
    <w:panose1 w:val="02020404030301010803"/>
    <w:charset w:val="00"/>
    <w:family w:val="roman"/>
    <w:pitch w:val="variable"/>
    <w:sig w:usb0="00000287" w:usb1="00000000" w:usb2="00000000" w:usb3="00000000" w:csb0="0000009F" w:csb1="00000000"/>
  </w:font>
  <w:font w:name="TTE1A42DC8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95923"/>
      <w:docPartObj>
        <w:docPartGallery w:val="Page Numbers (Bottom of Page)"/>
        <w:docPartUnique/>
      </w:docPartObj>
    </w:sdtPr>
    <w:sdtEndPr>
      <w:rPr>
        <w:rFonts w:asciiTheme="minorHAnsi" w:hAnsiTheme="minorHAnsi"/>
      </w:rPr>
    </w:sdtEndPr>
    <w:sdtContent>
      <w:p w:rsidR="00DF7442" w:rsidRPr="003D3023" w:rsidRDefault="00D417AF">
        <w:pPr>
          <w:pStyle w:val="Footer"/>
          <w:jc w:val="center"/>
          <w:rPr>
            <w:rFonts w:asciiTheme="minorHAnsi" w:hAnsiTheme="minorHAnsi"/>
          </w:rPr>
        </w:pPr>
        <w:r w:rsidRPr="003D3023">
          <w:rPr>
            <w:rFonts w:asciiTheme="minorHAnsi" w:hAnsiTheme="minorHAnsi"/>
          </w:rPr>
          <w:fldChar w:fldCharType="begin"/>
        </w:r>
        <w:r w:rsidR="00DF7442" w:rsidRPr="003D3023">
          <w:rPr>
            <w:rFonts w:asciiTheme="minorHAnsi" w:hAnsiTheme="minorHAnsi"/>
          </w:rPr>
          <w:instrText xml:space="preserve"> PAGE   \* MERGEFORMAT </w:instrText>
        </w:r>
        <w:r w:rsidRPr="003D3023">
          <w:rPr>
            <w:rFonts w:asciiTheme="minorHAnsi" w:hAnsiTheme="minorHAnsi"/>
          </w:rPr>
          <w:fldChar w:fldCharType="separate"/>
        </w:r>
        <w:r w:rsidR="00CA0F8D">
          <w:rPr>
            <w:rFonts w:asciiTheme="minorHAnsi" w:hAnsiTheme="minorHAnsi"/>
            <w:noProof/>
          </w:rPr>
          <w:t>1</w:t>
        </w:r>
        <w:r w:rsidRPr="003D3023">
          <w:rPr>
            <w:rFonts w:asciiTheme="minorHAnsi" w:hAnsiTheme="minorHAnsi"/>
          </w:rPr>
          <w:fldChar w:fldCharType="end"/>
        </w:r>
      </w:p>
    </w:sdtContent>
  </w:sdt>
  <w:p w:rsidR="00DF7442" w:rsidRDefault="00DF7442">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00D8" w:rsidRDefault="001600D8" w:rsidP="008E6E41">
      <w:pPr>
        <w:spacing w:after="0" w:line="240" w:lineRule="auto"/>
      </w:pPr>
      <w:r>
        <w:separator/>
      </w:r>
    </w:p>
  </w:footnote>
  <w:footnote w:type="continuationSeparator" w:id="1">
    <w:p w:rsidR="001600D8" w:rsidRDefault="001600D8" w:rsidP="008E6E41">
      <w:pPr>
        <w:spacing w:after="0" w:line="240" w:lineRule="auto"/>
      </w:pPr>
      <w:r>
        <w:continuationSeparator/>
      </w:r>
    </w:p>
  </w:footnote>
  <w:footnote w:id="2">
    <w:p w:rsidR="00DF7442" w:rsidRPr="003D3023" w:rsidRDefault="00DF7442" w:rsidP="00196938">
      <w:pPr>
        <w:pStyle w:val="FootnoteText"/>
        <w:rPr>
          <w:rFonts w:asciiTheme="minorHAnsi" w:hAnsiTheme="minorHAnsi"/>
        </w:rPr>
      </w:pPr>
      <w:r w:rsidRPr="003D3023">
        <w:rPr>
          <w:rStyle w:val="FootnoteReference"/>
          <w:rFonts w:asciiTheme="minorHAnsi" w:hAnsiTheme="minorHAnsi"/>
        </w:rPr>
        <w:footnoteRef/>
      </w:r>
      <w:r w:rsidRPr="003D3023">
        <w:rPr>
          <w:rFonts w:asciiTheme="minorHAnsi" w:hAnsiTheme="minorHAnsi"/>
        </w:rPr>
        <w:t xml:space="preserve"> </w:t>
      </w:r>
      <w:r w:rsidRPr="003D3023">
        <w:rPr>
          <w:rFonts w:asciiTheme="minorHAnsi" w:hAnsiTheme="minorHAnsi"/>
        </w:rPr>
        <w:tab/>
      </w:r>
      <w:r>
        <w:rPr>
          <w:rFonts w:asciiTheme="minorHAnsi" w:hAnsiTheme="minorHAnsi"/>
        </w:rPr>
        <w:t>Generation Licence Condition 4/</w:t>
      </w:r>
      <w:r w:rsidRPr="003D3023">
        <w:rPr>
          <w:rFonts w:asciiTheme="minorHAnsi" w:hAnsiTheme="minorHAnsi"/>
        </w:rPr>
        <w:t>SONI Grid Code SDC1.4.3.2</w:t>
      </w:r>
    </w:p>
  </w:footnote>
  <w:footnote w:id="3">
    <w:p w:rsidR="00DF7442" w:rsidRPr="003D3023" w:rsidRDefault="00DF7442" w:rsidP="00B762B7">
      <w:pPr>
        <w:pStyle w:val="FootnoteText"/>
        <w:rPr>
          <w:rFonts w:asciiTheme="minorHAnsi" w:hAnsiTheme="minorHAnsi"/>
        </w:rPr>
      </w:pPr>
      <w:r w:rsidRPr="003D3023">
        <w:rPr>
          <w:rStyle w:val="FootnoteReference"/>
          <w:rFonts w:asciiTheme="minorHAnsi" w:hAnsiTheme="minorHAnsi"/>
        </w:rPr>
        <w:footnoteRef/>
      </w:r>
      <w:r w:rsidRPr="003D3023">
        <w:rPr>
          <w:rFonts w:asciiTheme="minorHAnsi" w:hAnsiTheme="minorHAnsi"/>
        </w:rPr>
        <w:t xml:space="preserve"> </w:t>
      </w:r>
      <w:r w:rsidRPr="003D3023">
        <w:rPr>
          <w:rFonts w:asciiTheme="minorHAnsi" w:hAnsiTheme="minorHAnsi"/>
        </w:rPr>
        <w:tab/>
      </w:r>
      <w:r w:rsidR="00F85680">
        <w:rPr>
          <w:rFonts w:asciiTheme="minorHAnsi" w:hAnsiTheme="minorHAnsi"/>
        </w:rPr>
        <w:t>Generation Licence Condition 4/</w:t>
      </w:r>
      <w:r w:rsidRPr="003D3023">
        <w:rPr>
          <w:rFonts w:asciiTheme="minorHAnsi" w:hAnsiTheme="minorHAnsi"/>
        </w:rPr>
        <w:t>SONI Grid Code SDC1.4.3.2</w:t>
      </w:r>
    </w:p>
  </w:footnote>
  <w:footnote w:id="4">
    <w:p w:rsidR="00DF7442" w:rsidRPr="00DE144D" w:rsidRDefault="00DF7442">
      <w:pPr>
        <w:pStyle w:val="FootnoteText"/>
        <w:rPr>
          <w:rFonts w:asciiTheme="minorHAnsi" w:hAnsiTheme="minorHAnsi"/>
        </w:rPr>
      </w:pPr>
      <w:r w:rsidRPr="00DE144D">
        <w:rPr>
          <w:rStyle w:val="FootnoteReference"/>
          <w:rFonts w:asciiTheme="minorHAnsi" w:hAnsiTheme="minorHAnsi"/>
        </w:rPr>
        <w:footnoteRef/>
      </w:r>
      <w:r w:rsidRPr="00DE144D">
        <w:rPr>
          <w:rFonts w:asciiTheme="minorHAnsi" w:hAnsiTheme="minorHAnsi"/>
        </w:rPr>
        <w:t xml:space="preserve"> Market Power Mitigation in the SEM Decision Paper (AIP/SEM/31/06) section 3.2.3</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442" w:rsidRDefault="00DF7442">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1A5FEB9"/>
    <w:multiLevelType w:val="hybridMultilevel"/>
    <w:tmpl w:val="762DC53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D357A5C0"/>
    <w:multiLevelType w:val="hybridMultilevel"/>
    <w:tmpl w:val="68B5BE2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D51A7C45"/>
    <w:multiLevelType w:val="hybridMultilevel"/>
    <w:tmpl w:val="67E6BBB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E66FDF69"/>
    <w:multiLevelType w:val="hybridMultilevel"/>
    <w:tmpl w:val="7F95935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5A2F5C"/>
    <w:multiLevelType w:val="hybridMultilevel"/>
    <w:tmpl w:val="0284CB7A"/>
    <w:lvl w:ilvl="0" w:tplc="08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2AE7AA2"/>
    <w:multiLevelType w:val="hybridMultilevel"/>
    <w:tmpl w:val="0D4A2A5A"/>
    <w:lvl w:ilvl="0" w:tplc="F8A802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7DD5457"/>
    <w:multiLevelType w:val="hybridMultilevel"/>
    <w:tmpl w:val="9418D2B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08E33020"/>
    <w:multiLevelType w:val="hybridMultilevel"/>
    <w:tmpl w:val="FE07CC3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9007F1D"/>
    <w:multiLevelType w:val="hybridMultilevel"/>
    <w:tmpl w:val="83085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5BE5338"/>
    <w:multiLevelType w:val="hybridMultilevel"/>
    <w:tmpl w:val="77AEAA0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21706FC6"/>
    <w:multiLevelType w:val="hybridMultilevel"/>
    <w:tmpl w:val="06F2E0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EC00527"/>
    <w:multiLevelType w:val="hybridMultilevel"/>
    <w:tmpl w:val="108C5B9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428F2DF4"/>
    <w:multiLevelType w:val="hybridMultilevel"/>
    <w:tmpl w:val="3AAE6F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47132D9"/>
    <w:multiLevelType w:val="hybridMultilevel"/>
    <w:tmpl w:val="E6000CF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nsid w:val="55AB3E4E"/>
    <w:multiLevelType w:val="hybridMultilevel"/>
    <w:tmpl w:val="202EE61A"/>
    <w:lvl w:ilvl="0" w:tplc="3822EF2C">
      <w:start w:val="1"/>
      <w:numFmt w:val="decimal"/>
      <w:lvlText w:val="%1."/>
      <w:lvlJc w:val="left"/>
      <w:pPr>
        <w:ind w:left="72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481A465"/>
    <w:multiLevelType w:val="hybridMultilevel"/>
    <w:tmpl w:val="20D0AB7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77A247A3"/>
    <w:multiLevelType w:val="hybridMultilevel"/>
    <w:tmpl w:val="FABA7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B233014"/>
    <w:multiLevelType w:val="hybridMultilevel"/>
    <w:tmpl w:val="489CFA60"/>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nsid w:val="7D3415D6"/>
    <w:multiLevelType w:val="hybridMultilevel"/>
    <w:tmpl w:val="B106B9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0"/>
  </w:num>
  <w:num w:numId="3">
    <w:abstractNumId w:val="2"/>
  </w:num>
  <w:num w:numId="4">
    <w:abstractNumId w:val="3"/>
  </w:num>
  <w:num w:numId="5">
    <w:abstractNumId w:val="11"/>
  </w:num>
  <w:num w:numId="6">
    <w:abstractNumId w:val="1"/>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9"/>
  </w:num>
  <w:num w:numId="10">
    <w:abstractNumId w:val="4"/>
  </w:num>
  <w:num w:numId="11">
    <w:abstractNumId w:val="8"/>
  </w:num>
  <w:num w:numId="12">
    <w:abstractNumId w:val="10"/>
  </w:num>
  <w:num w:numId="13">
    <w:abstractNumId w:val="5"/>
  </w:num>
  <w:num w:numId="14">
    <w:abstractNumId w:val="16"/>
  </w:num>
  <w:num w:numId="15">
    <w:abstractNumId w:val="6"/>
  </w:num>
  <w:num w:numId="16">
    <w:abstractNumId w:val="13"/>
  </w:num>
  <w:num w:numId="17">
    <w:abstractNumId w:val="17"/>
  </w:num>
  <w:num w:numId="18">
    <w:abstractNumId w:val="18"/>
  </w:num>
  <w:num w:numId="1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624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B077E"/>
    <w:rsid w:val="00020450"/>
    <w:rsid w:val="00022069"/>
    <w:rsid w:val="000222F8"/>
    <w:rsid w:val="00023C39"/>
    <w:rsid w:val="0002575C"/>
    <w:rsid w:val="0002620F"/>
    <w:rsid w:val="00031C63"/>
    <w:rsid w:val="00033B59"/>
    <w:rsid w:val="0005442B"/>
    <w:rsid w:val="00062B2C"/>
    <w:rsid w:val="00081BB7"/>
    <w:rsid w:val="00084459"/>
    <w:rsid w:val="00087C54"/>
    <w:rsid w:val="000963AF"/>
    <w:rsid w:val="00097E43"/>
    <w:rsid w:val="000A0FAA"/>
    <w:rsid w:val="000A3AF0"/>
    <w:rsid w:val="000A3E93"/>
    <w:rsid w:val="000C005F"/>
    <w:rsid w:val="000D50C1"/>
    <w:rsid w:val="000D6ABC"/>
    <w:rsid w:val="000E1684"/>
    <w:rsid w:val="000E213F"/>
    <w:rsid w:val="000E4332"/>
    <w:rsid w:val="000F3B0B"/>
    <w:rsid w:val="000F4175"/>
    <w:rsid w:val="0010186A"/>
    <w:rsid w:val="00111525"/>
    <w:rsid w:val="00114199"/>
    <w:rsid w:val="001214CC"/>
    <w:rsid w:val="001321B2"/>
    <w:rsid w:val="0013599A"/>
    <w:rsid w:val="0014013E"/>
    <w:rsid w:val="001424E4"/>
    <w:rsid w:val="00150AB9"/>
    <w:rsid w:val="001600D8"/>
    <w:rsid w:val="00162735"/>
    <w:rsid w:val="00163757"/>
    <w:rsid w:val="001714B1"/>
    <w:rsid w:val="00181FFC"/>
    <w:rsid w:val="00193D73"/>
    <w:rsid w:val="00196938"/>
    <w:rsid w:val="001A2A6D"/>
    <w:rsid w:val="001A71BE"/>
    <w:rsid w:val="001B5BD9"/>
    <w:rsid w:val="001B6AD5"/>
    <w:rsid w:val="001C29E8"/>
    <w:rsid w:val="001D7D15"/>
    <w:rsid w:val="001E1E1E"/>
    <w:rsid w:val="001E70A7"/>
    <w:rsid w:val="001E7DDB"/>
    <w:rsid w:val="001F127B"/>
    <w:rsid w:val="001F1A01"/>
    <w:rsid w:val="001F6B4A"/>
    <w:rsid w:val="00220534"/>
    <w:rsid w:val="002317EF"/>
    <w:rsid w:val="00246388"/>
    <w:rsid w:val="00261ED3"/>
    <w:rsid w:val="00263D96"/>
    <w:rsid w:val="00266CCD"/>
    <w:rsid w:val="00267B5F"/>
    <w:rsid w:val="00270CD1"/>
    <w:rsid w:val="00281F08"/>
    <w:rsid w:val="002A2D62"/>
    <w:rsid w:val="002A4DAE"/>
    <w:rsid w:val="002A5FA6"/>
    <w:rsid w:val="002C2A5A"/>
    <w:rsid w:val="002C4925"/>
    <w:rsid w:val="002C6683"/>
    <w:rsid w:val="002D45B6"/>
    <w:rsid w:val="002E0715"/>
    <w:rsid w:val="002E30AD"/>
    <w:rsid w:val="002E39B5"/>
    <w:rsid w:val="002F1218"/>
    <w:rsid w:val="00303781"/>
    <w:rsid w:val="00303F44"/>
    <w:rsid w:val="0030627C"/>
    <w:rsid w:val="00313EB3"/>
    <w:rsid w:val="0031539A"/>
    <w:rsid w:val="003367F6"/>
    <w:rsid w:val="00345363"/>
    <w:rsid w:val="00345A34"/>
    <w:rsid w:val="00345A71"/>
    <w:rsid w:val="003579CA"/>
    <w:rsid w:val="00362338"/>
    <w:rsid w:val="0037704A"/>
    <w:rsid w:val="00380232"/>
    <w:rsid w:val="003920CE"/>
    <w:rsid w:val="003A14E7"/>
    <w:rsid w:val="003D0BE6"/>
    <w:rsid w:val="003D0CE3"/>
    <w:rsid w:val="003D3023"/>
    <w:rsid w:val="003E2F9F"/>
    <w:rsid w:val="003E6CC6"/>
    <w:rsid w:val="0040383E"/>
    <w:rsid w:val="00411BA7"/>
    <w:rsid w:val="004122C0"/>
    <w:rsid w:val="0041254E"/>
    <w:rsid w:val="00413AA1"/>
    <w:rsid w:val="00414DB9"/>
    <w:rsid w:val="00420847"/>
    <w:rsid w:val="00423D32"/>
    <w:rsid w:val="00424CE3"/>
    <w:rsid w:val="00426F38"/>
    <w:rsid w:val="004401D5"/>
    <w:rsid w:val="004445F8"/>
    <w:rsid w:val="00445B6B"/>
    <w:rsid w:val="00451EC3"/>
    <w:rsid w:val="00462FB1"/>
    <w:rsid w:val="00465429"/>
    <w:rsid w:val="00465846"/>
    <w:rsid w:val="00471BDF"/>
    <w:rsid w:val="0047299B"/>
    <w:rsid w:val="00476F35"/>
    <w:rsid w:val="004801F7"/>
    <w:rsid w:val="0048242D"/>
    <w:rsid w:val="0048634E"/>
    <w:rsid w:val="004B09D8"/>
    <w:rsid w:val="004B1047"/>
    <w:rsid w:val="004C15D1"/>
    <w:rsid w:val="004C1B2A"/>
    <w:rsid w:val="004C429B"/>
    <w:rsid w:val="004D3B80"/>
    <w:rsid w:val="004E3F49"/>
    <w:rsid w:val="004E48E4"/>
    <w:rsid w:val="004E58F1"/>
    <w:rsid w:val="004E61E7"/>
    <w:rsid w:val="004E740D"/>
    <w:rsid w:val="004E775B"/>
    <w:rsid w:val="004F029F"/>
    <w:rsid w:val="004F0A36"/>
    <w:rsid w:val="004F3E69"/>
    <w:rsid w:val="004F6B16"/>
    <w:rsid w:val="00513372"/>
    <w:rsid w:val="00526D60"/>
    <w:rsid w:val="00526E52"/>
    <w:rsid w:val="00530F42"/>
    <w:rsid w:val="00531571"/>
    <w:rsid w:val="005416EF"/>
    <w:rsid w:val="00544A7A"/>
    <w:rsid w:val="00553990"/>
    <w:rsid w:val="00563C19"/>
    <w:rsid w:val="005658C9"/>
    <w:rsid w:val="00570C1F"/>
    <w:rsid w:val="00570E9F"/>
    <w:rsid w:val="00575EB7"/>
    <w:rsid w:val="00581A29"/>
    <w:rsid w:val="005A0934"/>
    <w:rsid w:val="005A508A"/>
    <w:rsid w:val="005A6F01"/>
    <w:rsid w:val="005A724F"/>
    <w:rsid w:val="005B077E"/>
    <w:rsid w:val="005D25A0"/>
    <w:rsid w:val="005D5395"/>
    <w:rsid w:val="005D62BF"/>
    <w:rsid w:val="005D7300"/>
    <w:rsid w:val="005D7E77"/>
    <w:rsid w:val="005F018D"/>
    <w:rsid w:val="00605DA2"/>
    <w:rsid w:val="00614450"/>
    <w:rsid w:val="0062596A"/>
    <w:rsid w:val="0063295B"/>
    <w:rsid w:val="006528B9"/>
    <w:rsid w:val="006536DB"/>
    <w:rsid w:val="0066318C"/>
    <w:rsid w:val="00665A1B"/>
    <w:rsid w:val="006807E0"/>
    <w:rsid w:val="006940D6"/>
    <w:rsid w:val="006A5663"/>
    <w:rsid w:val="006B1BB7"/>
    <w:rsid w:val="006B3D60"/>
    <w:rsid w:val="006B7AB0"/>
    <w:rsid w:val="006C0004"/>
    <w:rsid w:val="006C6933"/>
    <w:rsid w:val="006C707E"/>
    <w:rsid w:val="006E07D8"/>
    <w:rsid w:val="006F7F12"/>
    <w:rsid w:val="007075F0"/>
    <w:rsid w:val="00713140"/>
    <w:rsid w:val="00714659"/>
    <w:rsid w:val="00722379"/>
    <w:rsid w:val="0072299F"/>
    <w:rsid w:val="007307BF"/>
    <w:rsid w:val="00744375"/>
    <w:rsid w:val="007444FD"/>
    <w:rsid w:val="00747803"/>
    <w:rsid w:val="00753D03"/>
    <w:rsid w:val="00763A0C"/>
    <w:rsid w:val="0077016B"/>
    <w:rsid w:val="00772747"/>
    <w:rsid w:val="007728F5"/>
    <w:rsid w:val="007736E6"/>
    <w:rsid w:val="00776DC4"/>
    <w:rsid w:val="007772F3"/>
    <w:rsid w:val="00777777"/>
    <w:rsid w:val="007839CA"/>
    <w:rsid w:val="00784403"/>
    <w:rsid w:val="00784E3C"/>
    <w:rsid w:val="00787F16"/>
    <w:rsid w:val="0079584A"/>
    <w:rsid w:val="0079645F"/>
    <w:rsid w:val="0079783A"/>
    <w:rsid w:val="007B5CA5"/>
    <w:rsid w:val="007D5A6C"/>
    <w:rsid w:val="007F1BBB"/>
    <w:rsid w:val="00802D77"/>
    <w:rsid w:val="00804411"/>
    <w:rsid w:val="00811238"/>
    <w:rsid w:val="0081775A"/>
    <w:rsid w:val="008223DE"/>
    <w:rsid w:val="00843F96"/>
    <w:rsid w:val="0084590B"/>
    <w:rsid w:val="00853CD0"/>
    <w:rsid w:val="00864674"/>
    <w:rsid w:val="008655C0"/>
    <w:rsid w:val="00881AAB"/>
    <w:rsid w:val="00882730"/>
    <w:rsid w:val="00896653"/>
    <w:rsid w:val="008A68ED"/>
    <w:rsid w:val="008B0297"/>
    <w:rsid w:val="008B49A1"/>
    <w:rsid w:val="008B6762"/>
    <w:rsid w:val="008C145C"/>
    <w:rsid w:val="008C7993"/>
    <w:rsid w:val="008D2F8A"/>
    <w:rsid w:val="008D5DBE"/>
    <w:rsid w:val="008D6B52"/>
    <w:rsid w:val="008D7A4A"/>
    <w:rsid w:val="008E49B4"/>
    <w:rsid w:val="008E6994"/>
    <w:rsid w:val="008E6E41"/>
    <w:rsid w:val="008F2555"/>
    <w:rsid w:val="008F5B3F"/>
    <w:rsid w:val="00900310"/>
    <w:rsid w:val="00905C8D"/>
    <w:rsid w:val="00931465"/>
    <w:rsid w:val="0094798D"/>
    <w:rsid w:val="0095005A"/>
    <w:rsid w:val="00951847"/>
    <w:rsid w:val="0095653D"/>
    <w:rsid w:val="00956E1B"/>
    <w:rsid w:val="009570F5"/>
    <w:rsid w:val="00957399"/>
    <w:rsid w:val="009579EE"/>
    <w:rsid w:val="009826AD"/>
    <w:rsid w:val="00993127"/>
    <w:rsid w:val="00993775"/>
    <w:rsid w:val="00993C6C"/>
    <w:rsid w:val="00993EC7"/>
    <w:rsid w:val="009965B6"/>
    <w:rsid w:val="009A0207"/>
    <w:rsid w:val="009C1114"/>
    <w:rsid w:val="009C1922"/>
    <w:rsid w:val="009C2992"/>
    <w:rsid w:val="009D4D24"/>
    <w:rsid w:val="009E35C6"/>
    <w:rsid w:val="009E5373"/>
    <w:rsid w:val="009F6016"/>
    <w:rsid w:val="00A00CC7"/>
    <w:rsid w:val="00A01C78"/>
    <w:rsid w:val="00A104CA"/>
    <w:rsid w:val="00A11FC1"/>
    <w:rsid w:val="00A15D51"/>
    <w:rsid w:val="00A21E41"/>
    <w:rsid w:val="00A269A8"/>
    <w:rsid w:val="00A30E86"/>
    <w:rsid w:val="00A34F18"/>
    <w:rsid w:val="00A40FB5"/>
    <w:rsid w:val="00A43F35"/>
    <w:rsid w:val="00A44FCE"/>
    <w:rsid w:val="00A61DC4"/>
    <w:rsid w:val="00A6315E"/>
    <w:rsid w:val="00A65EED"/>
    <w:rsid w:val="00A761B0"/>
    <w:rsid w:val="00A80066"/>
    <w:rsid w:val="00A831F1"/>
    <w:rsid w:val="00A926A2"/>
    <w:rsid w:val="00AB1C8E"/>
    <w:rsid w:val="00AC177C"/>
    <w:rsid w:val="00AC4E2D"/>
    <w:rsid w:val="00AC5681"/>
    <w:rsid w:val="00AC626A"/>
    <w:rsid w:val="00AD3797"/>
    <w:rsid w:val="00AD5E45"/>
    <w:rsid w:val="00AE4260"/>
    <w:rsid w:val="00AF181E"/>
    <w:rsid w:val="00AF1E9E"/>
    <w:rsid w:val="00AF50AD"/>
    <w:rsid w:val="00B03CF7"/>
    <w:rsid w:val="00B20D5B"/>
    <w:rsid w:val="00B24BE6"/>
    <w:rsid w:val="00B255E1"/>
    <w:rsid w:val="00B4109E"/>
    <w:rsid w:val="00B42CE4"/>
    <w:rsid w:val="00B43783"/>
    <w:rsid w:val="00B46E20"/>
    <w:rsid w:val="00B5330C"/>
    <w:rsid w:val="00B545E6"/>
    <w:rsid w:val="00B66FAD"/>
    <w:rsid w:val="00B70109"/>
    <w:rsid w:val="00B70C37"/>
    <w:rsid w:val="00B71297"/>
    <w:rsid w:val="00B762B7"/>
    <w:rsid w:val="00B806FE"/>
    <w:rsid w:val="00B84DFD"/>
    <w:rsid w:val="00BA0680"/>
    <w:rsid w:val="00BB0934"/>
    <w:rsid w:val="00BB2476"/>
    <w:rsid w:val="00BB5A82"/>
    <w:rsid w:val="00BB632A"/>
    <w:rsid w:val="00BC0FEF"/>
    <w:rsid w:val="00BC31BE"/>
    <w:rsid w:val="00BD514C"/>
    <w:rsid w:val="00BD636A"/>
    <w:rsid w:val="00BE2843"/>
    <w:rsid w:val="00BE5250"/>
    <w:rsid w:val="00BF202B"/>
    <w:rsid w:val="00C07D7B"/>
    <w:rsid w:val="00C22627"/>
    <w:rsid w:val="00C23D82"/>
    <w:rsid w:val="00C256A9"/>
    <w:rsid w:val="00C37D72"/>
    <w:rsid w:val="00C423EC"/>
    <w:rsid w:val="00C47FF6"/>
    <w:rsid w:val="00C51C2C"/>
    <w:rsid w:val="00C565D0"/>
    <w:rsid w:val="00C61C61"/>
    <w:rsid w:val="00C759BF"/>
    <w:rsid w:val="00C80A6C"/>
    <w:rsid w:val="00C879C0"/>
    <w:rsid w:val="00C92DF9"/>
    <w:rsid w:val="00CA0F8D"/>
    <w:rsid w:val="00CB54D1"/>
    <w:rsid w:val="00CC0334"/>
    <w:rsid w:val="00CD2E5C"/>
    <w:rsid w:val="00CE2C1D"/>
    <w:rsid w:val="00CE645D"/>
    <w:rsid w:val="00CF0FD9"/>
    <w:rsid w:val="00CF3688"/>
    <w:rsid w:val="00D123CB"/>
    <w:rsid w:val="00D21120"/>
    <w:rsid w:val="00D24931"/>
    <w:rsid w:val="00D253AF"/>
    <w:rsid w:val="00D253E3"/>
    <w:rsid w:val="00D25BFB"/>
    <w:rsid w:val="00D26268"/>
    <w:rsid w:val="00D27D6A"/>
    <w:rsid w:val="00D417AF"/>
    <w:rsid w:val="00D55920"/>
    <w:rsid w:val="00D56602"/>
    <w:rsid w:val="00D63687"/>
    <w:rsid w:val="00D65F91"/>
    <w:rsid w:val="00D80B57"/>
    <w:rsid w:val="00D80B62"/>
    <w:rsid w:val="00DA5BD9"/>
    <w:rsid w:val="00DC4ED9"/>
    <w:rsid w:val="00DC56C4"/>
    <w:rsid w:val="00DD20AC"/>
    <w:rsid w:val="00DD4D48"/>
    <w:rsid w:val="00DD6217"/>
    <w:rsid w:val="00DE144D"/>
    <w:rsid w:val="00DE2B62"/>
    <w:rsid w:val="00DE31DE"/>
    <w:rsid w:val="00DF0290"/>
    <w:rsid w:val="00DF2D29"/>
    <w:rsid w:val="00DF7442"/>
    <w:rsid w:val="00E0363E"/>
    <w:rsid w:val="00E037C8"/>
    <w:rsid w:val="00E11DCD"/>
    <w:rsid w:val="00E21A29"/>
    <w:rsid w:val="00E232DE"/>
    <w:rsid w:val="00E31E72"/>
    <w:rsid w:val="00E35AC4"/>
    <w:rsid w:val="00E53C09"/>
    <w:rsid w:val="00E6602F"/>
    <w:rsid w:val="00E72246"/>
    <w:rsid w:val="00E75D96"/>
    <w:rsid w:val="00E8229F"/>
    <w:rsid w:val="00EA04D6"/>
    <w:rsid w:val="00EA3D47"/>
    <w:rsid w:val="00EB3BAD"/>
    <w:rsid w:val="00EC6530"/>
    <w:rsid w:val="00ED03CA"/>
    <w:rsid w:val="00ED65E7"/>
    <w:rsid w:val="00EE2CF5"/>
    <w:rsid w:val="00EE3A55"/>
    <w:rsid w:val="00EE3E31"/>
    <w:rsid w:val="00EE45B3"/>
    <w:rsid w:val="00EF1547"/>
    <w:rsid w:val="00EF4F94"/>
    <w:rsid w:val="00EF5F31"/>
    <w:rsid w:val="00F0453E"/>
    <w:rsid w:val="00F05433"/>
    <w:rsid w:val="00F07366"/>
    <w:rsid w:val="00F12650"/>
    <w:rsid w:val="00F138AE"/>
    <w:rsid w:val="00F13B2F"/>
    <w:rsid w:val="00F13BB1"/>
    <w:rsid w:val="00F15E9B"/>
    <w:rsid w:val="00F51190"/>
    <w:rsid w:val="00F636E7"/>
    <w:rsid w:val="00F663FD"/>
    <w:rsid w:val="00F71A1F"/>
    <w:rsid w:val="00F75640"/>
    <w:rsid w:val="00F850FD"/>
    <w:rsid w:val="00F85680"/>
    <w:rsid w:val="00F87D28"/>
    <w:rsid w:val="00FA5696"/>
    <w:rsid w:val="00FB1B1D"/>
    <w:rsid w:val="00FB3AC5"/>
    <w:rsid w:val="00FC357D"/>
    <w:rsid w:val="00FD6AC5"/>
    <w:rsid w:val="00FD73B3"/>
    <w:rsid w:val="00FD7E7E"/>
    <w:rsid w:val="00FE2251"/>
    <w:rsid w:val="00FF49C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2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F96"/>
  </w:style>
  <w:style w:type="paragraph" w:styleId="Heading2">
    <w:name w:val="heading 2"/>
    <w:basedOn w:val="Normal"/>
    <w:next w:val="Normal"/>
    <w:link w:val="Heading2Char"/>
    <w:qFormat/>
    <w:rsid w:val="008E6E41"/>
    <w:pPr>
      <w:keepNext/>
      <w:spacing w:after="0" w:line="240" w:lineRule="auto"/>
      <w:jc w:val="both"/>
      <w:outlineLvl w:val="1"/>
    </w:pPr>
    <w:rPr>
      <w:rFonts w:ascii="Times New Roman" w:eastAsia="Times New Roman" w:hAnsi="Times New Roman" w:cs="Times New Roman"/>
      <w:b/>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43F96"/>
    <w:pPr>
      <w:widowControl w:val="0"/>
      <w:autoSpaceDE w:val="0"/>
      <w:autoSpaceDN w:val="0"/>
      <w:adjustRightInd w:val="0"/>
      <w:spacing w:after="0" w:line="240" w:lineRule="auto"/>
    </w:pPr>
    <w:rPr>
      <w:rFonts w:ascii="Univers" w:hAnsi="Univers" w:cs="Univers"/>
      <w:color w:val="000000"/>
      <w:sz w:val="24"/>
      <w:szCs w:val="24"/>
    </w:rPr>
  </w:style>
  <w:style w:type="character" w:customStyle="1" w:styleId="Heading2Char">
    <w:name w:val="Heading 2 Char"/>
    <w:basedOn w:val="DefaultParagraphFont"/>
    <w:link w:val="Heading2"/>
    <w:rsid w:val="008E6E41"/>
    <w:rPr>
      <w:rFonts w:ascii="Times New Roman" w:eastAsia="Times New Roman" w:hAnsi="Times New Roman" w:cs="Times New Roman"/>
      <w:b/>
      <w:sz w:val="24"/>
      <w:szCs w:val="20"/>
      <w:lang w:eastAsia="en-US"/>
    </w:rPr>
  </w:style>
  <w:style w:type="paragraph" w:styleId="Header">
    <w:name w:val="header"/>
    <w:basedOn w:val="Normal"/>
    <w:link w:val="HeaderChar"/>
    <w:semiHidden/>
    <w:rsid w:val="008E6E41"/>
    <w:pPr>
      <w:tabs>
        <w:tab w:val="center" w:pos="4320"/>
        <w:tab w:val="right" w:pos="8640"/>
      </w:tabs>
      <w:spacing w:after="0" w:line="240" w:lineRule="auto"/>
    </w:pPr>
    <w:rPr>
      <w:rFonts w:ascii="Times New Roman" w:eastAsia="Times New Roman" w:hAnsi="Times New Roman" w:cs="Times New Roman"/>
      <w:sz w:val="20"/>
      <w:szCs w:val="20"/>
      <w:lang w:eastAsia="en-US"/>
    </w:rPr>
  </w:style>
  <w:style w:type="character" w:customStyle="1" w:styleId="HeaderChar">
    <w:name w:val="Header Char"/>
    <w:basedOn w:val="DefaultParagraphFont"/>
    <w:link w:val="Header"/>
    <w:semiHidden/>
    <w:rsid w:val="008E6E41"/>
    <w:rPr>
      <w:rFonts w:ascii="Times New Roman" w:eastAsia="Times New Roman" w:hAnsi="Times New Roman" w:cs="Times New Roman"/>
      <w:sz w:val="20"/>
      <w:szCs w:val="20"/>
      <w:lang w:eastAsia="en-US"/>
    </w:rPr>
  </w:style>
  <w:style w:type="paragraph" w:styleId="Footer">
    <w:name w:val="footer"/>
    <w:basedOn w:val="Normal"/>
    <w:link w:val="FooterChar"/>
    <w:uiPriority w:val="99"/>
    <w:rsid w:val="008E6E41"/>
    <w:pPr>
      <w:tabs>
        <w:tab w:val="center" w:pos="4320"/>
        <w:tab w:val="right" w:pos="8640"/>
      </w:tabs>
      <w:spacing w:after="0" w:line="240" w:lineRule="auto"/>
    </w:pPr>
    <w:rPr>
      <w:rFonts w:ascii="Times New Roman" w:eastAsia="Times New Roman" w:hAnsi="Times New Roman" w:cs="Times New Roman"/>
      <w:sz w:val="20"/>
      <w:szCs w:val="20"/>
      <w:lang w:eastAsia="en-US"/>
    </w:rPr>
  </w:style>
  <w:style w:type="character" w:customStyle="1" w:styleId="FooterChar">
    <w:name w:val="Footer Char"/>
    <w:basedOn w:val="DefaultParagraphFont"/>
    <w:link w:val="Footer"/>
    <w:uiPriority w:val="99"/>
    <w:rsid w:val="008E6E41"/>
    <w:rPr>
      <w:rFonts w:ascii="Times New Roman" w:eastAsia="Times New Roman" w:hAnsi="Times New Roman" w:cs="Times New Roman"/>
      <w:sz w:val="20"/>
      <w:szCs w:val="20"/>
      <w:lang w:eastAsia="en-US"/>
    </w:rPr>
  </w:style>
  <w:style w:type="paragraph" w:styleId="BalloonText">
    <w:name w:val="Balloon Text"/>
    <w:basedOn w:val="Normal"/>
    <w:link w:val="BalloonTextChar"/>
    <w:uiPriority w:val="99"/>
    <w:semiHidden/>
    <w:unhideWhenUsed/>
    <w:rsid w:val="008E6E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6E41"/>
    <w:rPr>
      <w:rFonts w:ascii="Tahoma" w:hAnsi="Tahoma" w:cs="Tahoma"/>
      <w:sz w:val="16"/>
      <w:szCs w:val="16"/>
    </w:rPr>
  </w:style>
  <w:style w:type="table" w:styleId="TableGrid">
    <w:name w:val="Table Grid"/>
    <w:basedOn w:val="TableNormal"/>
    <w:uiPriority w:val="59"/>
    <w:rsid w:val="001A2A6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10186A"/>
    <w:rPr>
      <w:color w:val="0000FF" w:themeColor="hyperlink"/>
      <w:u w:val="single"/>
    </w:rPr>
  </w:style>
  <w:style w:type="paragraph" w:styleId="ListParagraph">
    <w:name w:val="List Paragraph"/>
    <w:basedOn w:val="Normal"/>
    <w:uiPriority w:val="34"/>
    <w:qFormat/>
    <w:rsid w:val="00DF2D29"/>
    <w:pPr>
      <w:spacing w:after="0" w:line="240" w:lineRule="auto"/>
      <w:ind w:left="720"/>
    </w:pPr>
    <w:rPr>
      <w:rFonts w:ascii="Calibri" w:eastAsiaTheme="minorHAnsi" w:hAnsi="Calibri" w:cs="Times New Roman"/>
      <w:lang w:val="en-US" w:eastAsia="en-US"/>
    </w:rPr>
  </w:style>
  <w:style w:type="paragraph" w:styleId="BodyText">
    <w:name w:val="Body Text"/>
    <w:basedOn w:val="Normal"/>
    <w:link w:val="BodyTextChar"/>
    <w:qFormat/>
    <w:rsid w:val="00196938"/>
    <w:pPr>
      <w:spacing w:after="240" w:line="240" w:lineRule="auto"/>
      <w:jc w:val="both"/>
    </w:pPr>
    <w:rPr>
      <w:rFonts w:ascii="Times New Roman" w:eastAsia="SimSun" w:hAnsi="Times New Roman" w:cs="Simplified Arabic"/>
      <w:sz w:val="24"/>
      <w:szCs w:val="24"/>
      <w:lang w:bidi="ar-AE"/>
    </w:rPr>
  </w:style>
  <w:style w:type="character" w:customStyle="1" w:styleId="BodyTextChar">
    <w:name w:val="Body Text Char"/>
    <w:basedOn w:val="DefaultParagraphFont"/>
    <w:link w:val="BodyText"/>
    <w:rsid w:val="00196938"/>
    <w:rPr>
      <w:rFonts w:ascii="Times New Roman" w:eastAsia="SimSun" w:hAnsi="Times New Roman" w:cs="Simplified Arabic"/>
      <w:sz w:val="24"/>
      <w:szCs w:val="24"/>
      <w:lang w:bidi="ar-AE"/>
    </w:rPr>
  </w:style>
  <w:style w:type="paragraph" w:styleId="FootnoteText">
    <w:name w:val="footnote text"/>
    <w:basedOn w:val="Normal"/>
    <w:next w:val="Normal"/>
    <w:link w:val="FootnoteTextChar"/>
    <w:qFormat/>
    <w:rsid w:val="00196938"/>
    <w:pPr>
      <w:spacing w:after="120" w:line="240" w:lineRule="auto"/>
      <w:ind w:left="340" w:hanging="340"/>
      <w:jc w:val="both"/>
    </w:pPr>
    <w:rPr>
      <w:rFonts w:ascii="Times New Roman" w:eastAsia="SimSun" w:hAnsi="Times New Roman" w:cs="Simplified Arabic"/>
      <w:sz w:val="20"/>
      <w:szCs w:val="20"/>
      <w:lang w:eastAsia="zh-CN" w:bidi="ar-AE"/>
    </w:rPr>
  </w:style>
  <w:style w:type="character" w:customStyle="1" w:styleId="FootnoteTextChar">
    <w:name w:val="Footnote Text Char"/>
    <w:basedOn w:val="DefaultParagraphFont"/>
    <w:link w:val="FootnoteText"/>
    <w:rsid w:val="00196938"/>
    <w:rPr>
      <w:rFonts w:ascii="Times New Roman" w:eastAsia="SimSun" w:hAnsi="Times New Roman" w:cs="Simplified Arabic"/>
      <w:sz w:val="20"/>
      <w:szCs w:val="20"/>
      <w:lang w:eastAsia="zh-CN" w:bidi="ar-AE"/>
    </w:rPr>
  </w:style>
  <w:style w:type="character" w:styleId="FootnoteReference">
    <w:name w:val="footnote reference"/>
    <w:basedOn w:val="DefaultParagraphFont"/>
    <w:rsid w:val="00196938"/>
    <w:rPr>
      <w:rFonts w:ascii="Times New Roman" w:eastAsia="SimSun" w:hAnsi="Times New Roman" w:cs="Simplified Arabic"/>
      <w:sz w:val="18"/>
      <w:szCs w:val="18"/>
      <w:vertAlign w:val="superscript"/>
      <w:lang w:bidi="ar-AE"/>
    </w:rPr>
  </w:style>
  <w:style w:type="paragraph" w:customStyle="1" w:styleId="BodyText1">
    <w:name w:val="Body Text 1"/>
    <w:basedOn w:val="Normal"/>
    <w:qFormat/>
    <w:rsid w:val="006B1BB7"/>
    <w:pPr>
      <w:spacing w:after="240" w:line="240" w:lineRule="auto"/>
      <w:ind w:left="720"/>
      <w:jc w:val="both"/>
    </w:pPr>
    <w:rPr>
      <w:rFonts w:ascii="Times New Roman" w:eastAsia="SimSun" w:hAnsi="Times New Roman" w:cs="Simplified Arabic"/>
      <w:sz w:val="24"/>
      <w:szCs w:val="24"/>
      <w:lang w:bidi="ar-AE"/>
    </w:rPr>
  </w:style>
  <w:style w:type="paragraph" w:customStyle="1" w:styleId="Tabletext">
    <w:name w:val="Table text"/>
    <w:basedOn w:val="Normal"/>
    <w:rsid w:val="00CF3688"/>
    <w:pPr>
      <w:keepNext/>
      <w:spacing w:before="120" w:after="0" w:line="240" w:lineRule="auto"/>
    </w:pPr>
    <w:rPr>
      <w:rFonts w:ascii="Arial" w:eastAsia="Times New Roman" w:hAnsi="Arial" w:cs="Times New Roman"/>
      <w:sz w:val="18"/>
      <w:szCs w:val="20"/>
      <w:lang w:eastAsia="en-US"/>
    </w:rPr>
  </w:style>
  <w:style w:type="paragraph" w:customStyle="1" w:styleId="Tablecolumnheading">
    <w:name w:val="Table column heading"/>
    <w:basedOn w:val="Tabletext"/>
    <w:next w:val="Tabletext"/>
    <w:rsid w:val="00CF3688"/>
    <w:pPr>
      <w:jc w:val="center"/>
    </w:pPr>
    <w:rPr>
      <w:b/>
      <w:color w:val="663366"/>
    </w:rPr>
  </w:style>
  <w:style w:type="character" w:customStyle="1" w:styleId="s">
    <w:name w:val="s"/>
    <w:basedOn w:val="DefaultParagraphFont"/>
    <w:rsid w:val="00951847"/>
    <w:rPr>
      <w:rFonts w:ascii="Arial" w:hAnsi="Arial" w:cs="Arial" w:hint="default"/>
    </w:rPr>
  </w:style>
</w:styles>
</file>

<file path=word/webSettings.xml><?xml version="1.0" encoding="utf-8"?>
<w:webSettings xmlns:r="http://schemas.openxmlformats.org/officeDocument/2006/relationships" xmlns:w="http://schemas.openxmlformats.org/wordprocessingml/2006/main">
  <w:divs>
    <w:div w:id="1384059838">
      <w:bodyDiv w:val="1"/>
      <w:marLeft w:val="0"/>
      <w:marRight w:val="0"/>
      <w:marTop w:val="0"/>
      <w:marBottom w:val="0"/>
      <w:divBdr>
        <w:top w:val="none" w:sz="0" w:space="0" w:color="auto"/>
        <w:left w:val="none" w:sz="0" w:space="0" w:color="auto"/>
        <w:bottom w:val="none" w:sz="0" w:space="0" w:color="auto"/>
        <w:right w:val="none" w:sz="0" w:space="0" w:color="auto"/>
      </w:divBdr>
    </w:div>
    <w:div w:id="1462191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lesley.hogg@aes.com" TargetMode="External"/><Relationship Id="rId4" Type="http://schemas.openxmlformats.org/officeDocument/2006/relationships/settings" Target="settings.xml"/><Relationship Id="rId9" Type="http://schemas.openxmlformats.org/officeDocument/2006/relationships/image" Target="http://upload.wikimedia.org/wikipedia/de/thumb/2/2e/AES_Logo.svg/800px-AES_Logo.svg.pn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27DBBA-8733-4D74-842B-8B0F60141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4835</Words>
  <Characters>27562</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Proposed acquisition of Emprex Cerveza by Heineken</vt:lpstr>
    </vt:vector>
  </TitlesOfParts>
  <Company/>
  <LinksUpToDate>false</LinksUpToDate>
  <CharactersWithSpaces>32333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acquisition of Emprex Cerveza by Heineken</dc:title>
  <dc:subject/>
  <dc:creator>Fiorenzo Bovenzi</dc:creator>
  <cp:keywords/>
  <dc:description/>
  <cp:lastModifiedBy>broomfield</cp:lastModifiedBy>
  <cp:revision>2</cp:revision>
  <cp:lastPrinted>2010-11-29T14:41:00Z</cp:lastPrinted>
  <dcterms:created xsi:type="dcterms:W3CDTF">2011-03-18T15:59:00Z</dcterms:created>
  <dcterms:modified xsi:type="dcterms:W3CDTF">2011-03-18T15:59:00Z</dcterms:modified>
</cp:coreProperties>
</file>