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694" w:rsidRPr="00155329" w:rsidRDefault="001C6694" w:rsidP="001C6694"/>
    <w:p w:rsidR="001C6694" w:rsidRDefault="001C6694" w:rsidP="001C6694">
      <w:pPr>
        <w:spacing w:line="300" w:lineRule="auto"/>
        <w:rPr>
          <w:rFonts w:cs="Arial"/>
          <w:b/>
          <w:bCs/>
          <w:lang w:val="en-GB"/>
        </w:rPr>
      </w:pPr>
    </w:p>
    <w:p w:rsidR="001C6694" w:rsidRDefault="001E7D44" w:rsidP="001E7D44">
      <w:pPr>
        <w:spacing w:line="300" w:lineRule="auto"/>
        <w:rPr>
          <w:rFonts w:cs="Arial"/>
          <w:b/>
          <w:bCs/>
          <w:lang w:val="en-GB"/>
        </w:rPr>
      </w:pPr>
      <w:r>
        <w:rPr>
          <w:noProof/>
          <w:lang w:val="en-GB" w:eastAsia="en-GB"/>
        </w:rPr>
        <w:drawing>
          <wp:inline distT="0" distB="0" distL="0" distR="0">
            <wp:extent cx="1722120" cy="918210"/>
            <wp:effectExtent l="0" t="0" r="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srcRect/>
                    <a:stretch>
                      <a:fillRect/>
                    </a:stretch>
                  </pic:blipFill>
                  <pic:spPr bwMode="auto">
                    <a:xfrm>
                      <a:off x="0" y="0"/>
                      <a:ext cx="1722120" cy="918210"/>
                    </a:xfrm>
                    <a:prstGeom prst="rect">
                      <a:avLst/>
                    </a:prstGeom>
                    <a:noFill/>
                    <a:ln w="9525">
                      <a:noFill/>
                      <a:miter lim="800000"/>
                      <a:headEnd/>
                      <a:tailEnd/>
                    </a:ln>
                  </pic:spPr>
                </pic:pic>
              </a:graphicData>
            </a:graphic>
          </wp:inline>
        </w:drawing>
      </w:r>
      <w:r>
        <w:rPr>
          <w:rFonts w:cs="Arial"/>
          <w:b/>
          <w:bCs/>
          <w:lang w:val="en-GB"/>
        </w:rPr>
        <w:t xml:space="preserve">                                                                    </w:t>
      </w:r>
      <w:r>
        <w:rPr>
          <w:noProof/>
          <w:lang w:val="en-GB" w:eastAsia="en-GB"/>
        </w:rPr>
        <w:drawing>
          <wp:inline distT="0" distB="0" distL="0" distR="0">
            <wp:extent cx="1722120" cy="915035"/>
            <wp:effectExtent l="0" t="0" r="0" b="0"/>
            <wp:docPr id="4" name="Picture 1" descr="Utility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ilityRegulator"/>
                    <pic:cNvPicPr>
                      <a:picLocks noChangeAspect="1" noChangeArrowheads="1"/>
                    </pic:cNvPicPr>
                  </pic:nvPicPr>
                  <pic:blipFill>
                    <a:blip r:embed="rId9"/>
                    <a:srcRect/>
                    <a:stretch>
                      <a:fillRect/>
                    </a:stretch>
                  </pic:blipFill>
                  <pic:spPr bwMode="auto">
                    <a:xfrm>
                      <a:off x="0" y="0"/>
                      <a:ext cx="1722120" cy="915035"/>
                    </a:xfrm>
                    <a:prstGeom prst="rect">
                      <a:avLst/>
                    </a:prstGeom>
                    <a:noFill/>
                    <a:ln w="9525">
                      <a:noFill/>
                      <a:miter lim="800000"/>
                      <a:headEnd/>
                      <a:tailEnd/>
                    </a:ln>
                  </pic:spPr>
                </pic:pic>
              </a:graphicData>
            </a:graphic>
          </wp:inline>
        </w:drawing>
      </w:r>
    </w:p>
    <w:p w:rsidR="001C6694" w:rsidRDefault="001C6694" w:rsidP="001C6694">
      <w:pPr>
        <w:spacing w:line="300" w:lineRule="auto"/>
        <w:jc w:val="center"/>
        <w:rPr>
          <w:rFonts w:cs="Arial"/>
          <w:b/>
          <w:bCs/>
          <w:lang w:val="en-GB"/>
        </w:rPr>
      </w:pPr>
    </w:p>
    <w:p w:rsidR="001C6694" w:rsidRDefault="001C6694" w:rsidP="001C6694">
      <w:pPr>
        <w:spacing w:line="300" w:lineRule="auto"/>
        <w:jc w:val="center"/>
        <w:rPr>
          <w:rFonts w:cs="Arial"/>
          <w:b/>
          <w:bCs/>
          <w:lang w:val="en-GB"/>
        </w:rPr>
      </w:pPr>
    </w:p>
    <w:p w:rsidR="001C6694" w:rsidRDefault="001C6694" w:rsidP="001C6694">
      <w:pPr>
        <w:autoSpaceDE w:val="0"/>
        <w:autoSpaceDN w:val="0"/>
        <w:adjustRightInd w:val="0"/>
        <w:spacing w:line="300" w:lineRule="auto"/>
        <w:jc w:val="center"/>
        <w:rPr>
          <w:rFonts w:cstheme="minorHAnsi"/>
          <w:b/>
          <w:bCs/>
          <w:lang w:val="en-GB"/>
        </w:rPr>
      </w:pPr>
    </w:p>
    <w:p w:rsidR="001C6694" w:rsidRDefault="00101C2A" w:rsidP="001C6694">
      <w:pPr>
        <w:autoSpaceDE w:val="0"/>
        <w:autoSpaceDN w:val="0"/>
        <w:adjustRightInd w:val="0"/>
        <w:spacing w:line="300" w:lineRule="auto"/>
        <w:jc w:val="center"/>
        <w:rPr>
          <w:rFonts w:cstheme="minorHAnsi"/>
          <w:b/>
          <w:bCs/>
          <w:sz w:val="72"/>
          <w:szCs w:val="72"/>
          <w:lang w:val="en-GB"/>
        </w:rPr>
      </w:pPr>
      <w:r>
        <w:rPr>
          <w:rFonts w:cstheme="minorHAnsi"/>
          <w:b/>
          <w:bCs/>
          <w:sz w:val="72"/>
          <w:szCs w:val="72"/>
          <w:lang w:val="en-GB"/>
        </w:rPr>
        <w:t xml:space="preserve">Regulatory </w:t>
      </w:r>
      <w:r w:rsidR="00F4045A">
        <w:rPr>
          <w:rFonts w:cstheme="minorHAnsi"/>
          <w:b/>
          <w:bCs/>
          <w:sz w:val="72"/>
          <w:szCs w:val="72"/>
          <w:lang w:val="en-GB"/>
        </w:rPr>
        <w:t>Framework for</w:t>
      </w:r>
    </w:p>
    <w:p w:rsidR="00340C5E" w:rsidRDefault="008C2B91" w:rsidP="001C6694">
      <w:pPr>
        <w:autoSpaceDE w:val="0"/>
        <w:autoSpaceDN w:val="0"/>
        <w:adjustRightInd w:val="0"/>
        <w:spacing w:line="300" w:lineRule="auto"/>
        <w:jc w:val="center"/>
        <w:rPr>
          <w:rFonts w:cstheme="minorHAnsi"/>
          <w:b/>
          <w:bCs/>
          <w:sz w:val="72"/>
          <w:szCs w:val="72"/>
          <w:lang w:val="en-GB"/>
        </w:rPr>
      </w:pPr>
      <w:r>
        <w:rPr>
          <w:rFonts w:cstheme="minorHAnsi"/>
          <w:b/>
          <w:bCs/>
          <w:sz w:val="72"/>
          <w:szCs w:val="72"/>
          <w:lang w:val="en-GB"/>
        </w:rPr>
        <w:t xml:space="preserve">NEMO </w:t>
      </w:r>
      <w:r w:rsidR="001C6694">
        <w:rPr>
          <w:rFonts w:cstheme="minorHAnsi"/>
          <w:b/>
          <w:bCs/>
          <w:sz w:val="72"/>
          <w:szCs w:val="72"/>
          <w:lang w:val="en-GB"/>
        </w:rPr>
        <w:t>Regulat</w:t>
      </w:r>
      <w:r>
        <w:rPr>
          <w:rFonts w:cstheme="minorHAnsi"/>
          <w:b/>
          <w:bCs/>
          <w:sz w:val="72"/>
          <w:szCs w:val="72"/>
          <w:lang w:val="en-GB"/>
        </w:rPr>
        <w:t>ion</w:t>
      </w:r>
    </w:p>
    <w:p w:rsidR="001C6694" w:rsidRDefault="001C6694" w:rsidP="001C6694">
      <w:pPr>
        <w:autoSpaceDE w:val="0"/>
        <w:autoSpaceDN w:val="0"/>
        <w:adjustRightInd w:val="0"/>
        <w:spacing w:line="300" w:lineRule="auto"/>
        <w:jc w:val="center"/>
        <w:rPr>
          <w:rFonts w:cstheme="minorHAnsi"/>
          <w:b/>
          <w:bCs/>
          <w:sz w:val="72"/>
          <w:szCs w:val="72"/>
          <w:lang w:val="en-GB"/>
        </w:rPr>
      </w:pPr>
    </w:p>
    <w:p w:rsidR="001C6694" w:rsidRPr="00340C5E" w:rsidRDefault="00101C2A" w:rsidP="00340C5E">
      <w:pPr>
        <w:jc w:val="center"/>
        <w:rPr>
          <w:sz w:val="56"/>
          <w:szCs w:val="56"/>
          <w:lang w:val="en-GB"/>
        </w:rPr>
      </w:pPr>
      <w:r w:rsidRPr="00340C5E">
        <w:rPr>
          <w:sz w:val="56"/>
          <w:szCs w:val="56"/>
          <w:lang w:val="en-GB"/>
        </w:rPr>
        <w:t>Information Paper</w:t>
      </w:r>
    </w:p>
    <w:p w:rsidR="00340C5E" w:rsidRDefault="00340C5E" w:rsidP="00340C5E">
      <w:pPr>
        <w:jc w:val="center"/>
        <w:rPr>
          <w:sz w:val="44"/>
          <w:szCs w:val="44"/>
          <w:lang w:val="en-GB"/>
        </w:rPr>
      </w:pPr>
    </w:p>
    <w:p w:rsidR="00340C5E" w:rsidRDefault="00340C5E" w:rsidP="00340C5E">
      <w:pPr>
        <w:jc w:val="center"/>
        <w:rPr>
          <w:sz w:val="44"/>
          <w:szCs w:val="44"/>
          <w:lang w:val="en-GB"/>
        </w:rPr>
      </w:pPr>
      <w:r>
        <w:rPr>
          <w:sz w:val="44"/>
          <w:szCs w:val="44"/>
          <w:lang w:val="en-GB"/>
        </w:rPr>
        <w:t>SEM-16-</w:t>
      </w:r>
      <w:r w:rsidR="00714C7B">
        <w:rPr>
          <w:sz w:val="44"/>
          <w:szCs w:val="44"/>
          <w:lang w:val="en-GB"/>
        </w:rPr>
        <w:t>0</w:t>
      </w:r>
      <w:r w:rsidR="00E00B40">
        <w:rPr>
          <w:sz w:val="44"/>
          <w:szCs w:val="44"/>
          <w:lang w:val="en-GB"/>
        </w:rPr>
        <w:t>53</w:t>
      </w:r>
    </w:p>
    <w:p w:rsidR="00340C5E" w:rsidRPr="00340C5E" w:rsidRDefault="00340C5E" w:rsidP="00340C5E">
      <w:pPr>
        <w:jc w:val="center"/>
        <w:rPr>
          <w:sz w:val="44"/>
          <w:szCs w:val="44"/>
          <w:lang w:val="en-GB"/>
        </w:rPr>
      </w:pPr>
      <w:r>
        <w:rPr>
          <w:sz w:val="44"/>
          <w:szCs w:val="44"/>
          <w:lang w:val="en-GB"/>
        </w:rPr>
        <w:t>30 August 2016</w:t>
      </w:r>
    </w:p>
    <w:p w:rsidR="001C6694" w:rsidRPr="00340C5E" w:rsidRDefault="001C6694" w:rsidP="00340C5E">
      <w:pPr>
        <w:jc w:val="center"/>
        <w:rPr>
          <w:rFonts w:cstheme="minorHAnsi"/>
          <w:b/>
          <w:bCs/>
          <w:sz w:val="56"/>
          <w:szCs w:val="56"/>
          <w:lang w:val="en-GB"/>
        </w:rPr>
      </w:pPr>
    </w:p>
    <w:p w:rsidR="00101C2A" w:rsidRDefault="00101C2A" w:rsidP="001C6694">
      <w:pPr>
        <w:autoSpaceDE w:val="0"/>
        <w:autoSpaceDN w:val="0"/>
        <w:adjustRightInd w:val="0"/>
        <w:spacing w:line="300" w:lineRule="auto"/>
        <w:jc w:val="center"/>
        <w:rPr>
          <w:rFonts w:cstheme="minorHAnsi"/>
          <w:b/>
          <w:bCs/>
          <w:sz w:val="36"/>
          <w:szCs w:val="36"/>
          <w:lang w:val="en-GB"/>
        </w:rPr>
      </w:pPr>
    </w:p>
    <w:p w:rsidR="001E7D44" w:rsidRDefault="001E7D44" w:rsidP="001C6694">
      <w:pPr>
        <w:autoSpaceDE w:val="0"/>
        <w:autoSpaceDN w:val="0"/>
        <w:adjustRightInd w:val="0"/>
        <w:spacing w:line="300" w:lineRule="auto"/>
        <w:jc w:val="center"/>
        <w:rPr>
          <w:rFonts w:cstheme="minorHAnsi"/>
          <w:b/>
          <w:bCs/>
          <w:sz w:val="36"/>
          <w:szCs w:val="36"/>
          <w:lang w:val="en-GB"/>
        </w:rPr>
      </w:pPr>
      <w:bookmarkStart w:id="0" w:name="_GoBack"/>
      <w:bookmarkEnd w:id="0"/>
    </w:p>
    <w:bookmarkStart w:id="1" w:name="_Toc460239095" w:displacedByCustomXml="next"/>
    <w:sdt>
      <w:sdtPr>
        <w:rPr>
          <w:rFonts w:eastAsia="Times New Roman" w:cs="Times New Roman"/>
          <w:b w:val="0"/>
          <w:bCs w:val="0"/>
          <w:caps w:val="0"/>
          <w:color w:val="auto"/>
          <w:spacing w:val="0"/>
          <w:sz w:val="24"/>
          <w:szCs w:val="24"/>
          <w:lang w:val="en-GB" w:eastAsia="en-IE"/>
        </w:rPr>
        <w:id w:val="-854499168"/>
        <w:docPartObj>
          <w:docPartGallery w:val="Table of Contents"/>
          <w:docPartUnique/>
        </w:docPartObj>
      </w:sdtPr>
      <w:sdtEndPr>
        <w:rPr>
          <w:rFonts w:eastAsiaTheme="minorEastAsia" w:cstheme="minorBidi"/>
          <w:sz w:val="22"/>
          <w:szCs w:val="22"/>
        </w:rPr>
      </w:sdtEndPr>
      <w:sdtContent>
        <w:p w:rsidR="001C6694" w:rsidRDefault="001C6694" w:rsidP="00A63951">
          <w:pPr>
            <w:pStyle w:val="Heading1"/>
            <w:keepNext w:val="0"/>
            <w:numPr>
              <w:ilvl w:val="0"/>
              <w:numId w:val="1"/>
            </w:numPr>
            <w:pBdr>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pBdr>
            <w:shd w:val="clear" w:color="auto" w:fill="31849B" w:themeFill="accent5" w:themeFillShade="BF"/>
            <w:spacing w:before="0" w:line="300" w:lineRule="auto"/>
            <w:ind w:left="426" w:hanging="426"/>
            <w:jc w:val="both"/>
            <w:rPr>
              <w:rFonts w:cstheme="majorBidi"/>
              <w:sz w:val="24"/>
              <w:szCs w:val="24"/>
              <w:lang w:val="en-GB"/>
            </w:rPr>
          </w:pPr>
          <w:r>
            <w:rPr>
              <w:sz w:val="24"/>
              <w:szCs w:val="24"/>
              <w:lang w:val="en-GB"/>
            </w:rPr>
            <w:t>Contents</w:t>
          </w:r>
          <w:bookmarkEnd w:id="1"/>
        </w:p>
        <w:p w:rsidR="00DA1DE5" w:rsidRDefault="00E66DA8">
          <w:pPr>
            <w:pStyle w:val="TOC1"/>
            <w:tabs>
              <w:tab w:val="left" w:pos="440"/>
              <w:tab w:val="right" w:leader="dot" w:pos="9016"/>
            </w:tabs>
            <w:rPr>
              <w:noProof/>
              <w:sz w:val="22"/>
              <w:szCs w:val="22"/>
              <w:lang w:val="en-GB" w:eastAsia="en-GB"/>
            </w:rPr>
          </w:pPr>
          <w:r w:rsidRPr="00E66DA8">
            <w:fldChar w:fldCharType="begin"/>
          </w:r>
          <w:r w:rsidR="001C6694">
            <w:rPr>
              <w:sz w:val="24"/>
              <w:szCs w:val="24"/>
              <w:lang w:val="en-GB"/>
            </w:rPr>
            <w:instrText xml:space="preserve"> TOC \o "1-3" \h \z \u </w:instrText>
          </w:r>
          <w:r w:rsidRPr="00E66DA8">
            <w:fldChar w:fldCharType="separate"/>
          </w:r>
          <w:hyperlink w:anchor="_Toc460239095" w:history="1">
            <w:r w:rsidR="00DA1DE5" w:rsidRPr="00BF249F">
              <w:rPr>
                <w:rStyle w:val="Hyperlink"/>
                <w:rFonts w:cs="Times New Roman"/>
                <w:noProof/>
                <w:lang w:val="en-GB"/>
              </w:rPr>
              <w:t>1</w:t>
            </w:r>
            <w:r w:rsidR="00DA1DE5">
              <w:rPr>
                <w:noProof/>
                <w:sz w:val="22"/>
                <w:szCs w:val="22"/>
                <w:lang w:val="en-GB" w:eastAsia="en-GB"/>
              </w:rPr>
              <w:tab/>
            </w:r>
            <w:r w:rsidR="00DA1DE5">
              <w:rPr>
                <w:rStyle w:val="Hyperlink"/>
                <w:noProof/>
                <w:lang w:val="en-GB"/>
              </w:rPr>
              <w:t>CONTENTS</w:t>
            </w:r>
            <w:r w:rsidR="00DA1DE5">
              <w:rPr>
                <w:noProof/>
                <w:webHidden/>
              </w:rPr>
              <w:tab/>
            </w:r>
            <w:r>
              <w:rPr>
                <w:noProof/>
                <w:webHidden/>
              </w:rPr>
              <w:fldChar w:fldCharType="begin"/>
            </w:r>
            <w:r w:rsidR="00DA1DE5">
              <w:rPr>
                <w:noProof/>
                <w:webHidden/>
              </w:rPr>
              <w:instrText xml:space="preserve"> PAGEREF _Toc460239095 \h </w:instrText>
            </w:r>
            <w:r>
              <w:rPr>
                <w:noProof/>
                <w:webHidden/>
              </w:rPr>
            </w:r>
            <w:r>
              <w:rPr>
                <w:noProof/>
                <w:webHidden/>
              </w:rPr>
              <w:fldChar w:fldCharType="separate"/>
            </w:r>
            <w:r w:rsidR="004E469A">
              <w:rPr>
                <w:noProof/>
                <w:webHidden/>
              </w:rPr>
              <w:t>2</w:t>
            </w:r>
            <w:r>
              <w:rPr>
                <w:noProof/>
                <w:webHidden/>
              </w:rPr>
              <w:fldChar w:fldCharType="end"/>
            </w:r>
          </w:hyperlink>
        </w:p>
        <w:p w:rsidR="00DA1DE5" w:rsidRDefault="00E66DA8">
          <w:pPr>
            <w:pStyle w:val="TOC1"/>
            <w:tabs>
              <w:tab w:val="left" w:pos="440"/>
              <w:tab w:val="right" w:leader="dot" w:pos="9016"/>
            </w:tabs>
            <w:rPr>
              <w:noProof/>
              <w:sz w:val="22"/>
              <w:szCs w:val="22"/>
              <w:lang w:val="en-GB" w:eastAsia="en-GB"/>
            </w:rPr>
          </w:pPr>
          <w:hyperlink w:anchor="_Toc460239096" w:history="1">
            <w:r w:rsidR="00DA1DE5" w:rsidRPr="00BF249F">
              <w:rPr>
                <w:rStyle w:val="Hyperlink"/>
                <w:rFonts w:cs="Times New Roman"/>
                <w:noProof/>
                <w:kern w:val="32"/>
                <w:lang w:val="en-GB"/>
              </w:rPr>
              <w:t>2</w:t>
            </w:r>
            <w:r w:rsidR="00DA1DE5">
              <w:rPr>
                <w:noProof/>
                <w:sz w:val="22"/>
                <w:szCs w:val="22"/>
                <w:lang w:val="en-GB" w:eastAsia="en-GB"/>
              </w:rPr>
              <w:tab/>
            </w:r>
            <w:r w:rsidR="00DA1DE5" w:rsidRPr="00BF249F">
              <w:rPr>
                <w:rStyle w:val="Hyperlink"/>
                <w:rFonts w:cs="Times New Roman"/>
                <w:noProof/>
                <w:lang w:val="en-GB"/>
              </w:rPr>
              <w:t>EXECUTIVE SUMMARY</w:t>
            </w:r>
            <w:r w:rsidR="00DA1DE5">
              <w:rPr>
                <w:noProof/>
                <w:webHidden/>
              </w:rPr>
              <w:tab/>
            </w:r>
            <w:r>
              <w:rPr>
                <w:noProof/>
                <w:webHidden/>
              </w:rPr>
              <w:fldChar w:fldCharType="begin"/>
            </w:r>
            <w:r w:rsidR="00DA1DE5">
              <w:rPr>
                <w:noProof/>
                <w:webHidden/>
              </w:rPr>
              <w:instrText xml:space="preserve"> PAGEREF _Toc460239096 \h </w:instrText>
            </w:r>
            <w:r>
              <w:rPr>
                <w:noProof/>
                <w:webHidden/>
              </w:rPr>
            </w:r>
            <w:r>
              <w:rPr>
                <w:noProof/>
                <w:webHidden/>
              </w:rPr>
              <w:fldChar w:fldCharType="separate"/>
            </w:r>
            <w:r w:rsidR="004E469A">
              <w:rPr>
                <w:noProof/>
                <w:webHidden/>
              </w:rPr>
              <w:t>3</w:t>
            </w:r>
            <w:r>
              <w:rPr>
                <w:noProof/>
                <w:webHidden/>
              </w:rPr>
              <w:fldChar w:fldCharType="end"/>
            </w:r>
          </w:hyperlink>
        </w:p>
        <w:p w:rsidR="00DA1DE5" w:rsidRDefault="00E66DA8">
          <w:pPr>
            <w:pStyle w:val="TOC1"/>
            <w:tabs>
              <w:tab w:val="left" w:pos="440"/>
              <w:tab w:val="right" w:leader="dot" w:pos="9016"/>
            </w:tabs>
            <w:rPr>
              <w:noProof/>
              <w:sz w:val="22"/>
              <w:szCs w:val="22"/>
              <w:lang w:val="en-GB" w:eastAsia="en-GB"/>
            </w:rPr>
          </w:pPr>
          <w:hyperlink w:anchor="_Toc460239097" w:history="1">
            <w:r w:rsidR="00DA1DE5" w:rsidRPr="00BF249F">
              <w:rPr>
                <w:rStyle w:val="Hyperlink"/>
                <w:rFonts w:cs="Times New Roman"/>
                <w:noProof/>
                <w:kern w:val="32"/>
                <w:lang w:val="en-GB"/>
              </w:rPr>
              <w:t>3</w:t>
            </w:r>
            <w:r w:rsidR="00DA1DE5">
              <w:rPr>
                <w:noProof/>
                <w:sz w:val="22"/>
                <w:szCs w:val="22"/>
                <w:lang w:val="en-GB" w:eastAsia="en-GB"/>
              </w:rPr>
              <w:tab/>
            </w:r>
            <w:r w:rsidR="00DA1DE5" w:rsidRPr="00BF249F">
              <w:rPr>
                <w:rStyle w:val="Hyperlink"/>
                <w:rFonts w:cs="Times New Roman"/>
                <w:noProof/>
                <w:lang w:val="en-GB"/>
              </w:rPr>
              <w:t>NEMO OVERSIGHT AND CACM COMPLIANCE</w:t>
            </w:r>
            <w:r w:rsidR="00DA1DE5">
              <w:rPr>
                <w:noProof/>
                <w:webHidden/>
              </w:rPr>
              <w:tab/>
            </w:r>
            <w:r>
              <w:rPr>
                <w:noProof/>
                <w:webHidden/>
              </w:rPr>
              <w:fldChar w:fldCharType="begin"/>
            </w:r>
            <w:r w:rsidR="00DA1DE5">
              <w:rPr>
                <w:noProof/>
                <w:webHidden/>
              </w:rPr>
              <w:instrText xml:space="preserve"> PAGEREF _Toc460239097 \h </w:instrText>
            </w:r>
            <w:r>
              <w:rPr>
                <w:noProof/>
                <w:webHidden/>
              </w:rPr>
            </w:r>
            <w:r>
              <w:rPr>
                <w:noProof/>
                <w:webHidden/>
              </w:rPr>
              <w:fldChar w:fldCharType="separate"/>
            </w:r>
            <w:r w:rsidR="004E469A">
              <w:rPr>
                <w:noProof/>
                <w:webHidden/>
              </w:rPr>
              <w:t>4</w:t>
            </w:r>
            <w:r>
              <w:rPr>
                <w:noProof/>
                <w:webHidden/>
              </w:rPr>
              <w:fldChar w:fldCharType="end"/>
            </w:r>
          </w:hyperlink>
        </w:p>
        <w:p w:rsidR="00DA1DE5" w:rsidRDefault="00E66DA8">
          <w:pPr>
            <w:pStyle w:val="TOC3"/>
            <w:tabs>
              <w:tab w:val="left" w:pos="1100"/>
              <w:tab w:val="right" w:leader="dot" w:pos="9016"/>
            </w:tabs>
            <w:rPr>
              <w:noProof/>
              <w:lang w:val="en-GB" w:eastAsia="en-GB"/>
            </w:rPr>
          </w:pPr>
          <w:hyperlink w:anchor="_Toc460239098" w:history="1">
            <w:r w:rsidR="00DA1DE5" w:rsidRPr="00BF249F">
              <w:rPr>
                <w:rStyle w:val="Hyperlink"/>
                <w:rFonts w:cs="Times New Roman"/>
                <w:noProof/>
                <w:lang w:val="en-GB"/>
              </w:rPr>
              <w:t>3.1</w:t>
            </w:r>
            <w:r w:rsidR="00DA1DE5">
              <w:rPr>
                <w:noProof/>
                <w:lang w:val="en-GB" w:eastAsia="en-GB"/>
              </w:rPr>
              <w:tab/>
            </w:r>
            <w:r w:rsidR="00DA1DE5" w:rsidRPr="00BF249F">
              <w:rPr>
                <w:rStyle w:val="Hyperlink"/>
                <w:noProof/>
                <w:lang w:val="en-GB"/>
              </w:rPr>
              <w:t>INTRODUCTION</w:t>
            </w:r>
            <w:r w:rsidR="00DA1DE5">
              <w:rPr>
                <w:noProof/>
                <w:webHidden/>
              </w:rPr>
              <w:tab/>
            </w:r>
            <w:r>
              <w:rPr>
                <w:noProof/>
                <w:webHidden/>
              </w:rPr>
              <w:fldChar w:fldCharType="begin"/>
            </w:r>
            <w:r w:rsidR="00DA1DE5">
              <w:rPr>
                <w:noProof/>
                <w:webHidden/>
              </w:rPr>
              <w:instrText xml:space="preserve"> PAGEREF _Toc460239098 \h </w:instrText>
            </w:r>
            <w:r>
              <w:rPr>
                <w:noProof/>
                <w:webHidden/>
              </w:rPr>
            </w:r>
            <w:r>
              <w:rPr>
                <w:noProof/>
                <w:webHidden/>
              </w:rPr>
              <w:fldChar w:fldCharType="separate"/>
            </w:r>
            <w:r w:rsidR="004E469A">
              <w:rPr>
                <w:noProof/>
                <w:webHidden/>
              </w:rPr>
              <w:t>4</w:t>
            </w:r>
            <w:r>
              <w:rPr>
                <w:noProof/>
                <w:webHidden/>
              </w:rPr>
              <w:fldChar w:fldCharType="end"/>
            </w:r>
          </w:hyperlink>
        </w:p>
        <w:p w:rsidR="00DA1DE5" w:rsidRDefault="00E66DA8">
          <w:pPr>
            <w:pStyle w:val="TOC3"/>
            <w:tabs>
              <w:tab w:val="left" w:pos="1100"/>
              <w:tab w:val="right" w:leader="dot" w:pos="9016"/>
            </w:tabs>
            <w:rPr>
              <w:noProof/>
              <w:lang w:val="en-GB" w:eastAsia="en-GB"/>
            </w:rPr>
          </w:pPr>
          <w:hyperlink w:anchor="_Toc460239099" w:history="1">
            <w:r w:rsidR="00DA1DE5" w:rsidRPr="00BF249F">
              <w:rPr>
                <w:rStyle w:val="Hyperlink"/>
                <w:rFonts w:cs="Times New Roman"/>
                <w:noProof/>
                <w:lang w:val="en-GB"/>
              </w:rPr>
              <w:t>3.2</w:t>
            </w:r>
            <w:r w:rsidR="00DA1DE5">
              <w:rPr>
                <w:noProof/>
                <w:lang w:val="en-GB" w:eastAsia="en-GB"/>
              </w:rPr>
              <w:tab/>
            </w:r>
            <w:r w:rsidR="00DA1DE5" w:rsidRPr="00BF249F">
              <w:rPr>
                <w:rStyle w:val="Hyperlink"/>
                <w:noProof/>
                <w:lang w:val="en-GB"/>
              </w:rPr>
              <w:t>REGULATORY OVERSIGHT</w:t>
            </w:r>
            <w:r w:rsidR="00DA1DE5">
              <w:rPr>
                <w:noProof/>
                <w:webHidden/>
              </w:rPr>
              <w:tab/>
            </w:r>
            <w:r>
              <w:rPr>
                <w:noProof/>
                <w:webHidden/>
              </w:rPr>
              <w:fldChar w:fldCharType="begin"/>
            </w:r>
            <w:r w:rsidR="00DA1DE5">
              <w:rPr>
                <w:noProof/>
                <w:webHidden/>
              </w:rPr>
              <w:instrText xml:space="preserve"> PAGEREF _Toc460239099 \h </w:instrText>
            </w:r>
            <w:r>
              <w:rPr>
                <w:noProof/>
                <w:webHidden/>
              </w:rPr>
            </w:r>
            <w:r>
              <w:rPr>
                <w:noProof/>
                <w:webHidden/>
              </w:rPr>
              <w:fldChar w:fldCharType="separate"/>
            </w:r>
            <w:r w:rsidR="004E469A">
              <w:rPr>
                <w:noProof/>
                <w:webHidden/>
              </w:rPr>
              <w:t>4</w:t>
            </w:r>
            <w:r>
              <w:rPr>
                <w:noProof/>
                <w:webHidden/>
              </w:rPr>
              <w:fldChar w:fldCharType="end"/>
            </w:r>
          </w:hyperlink>
        </w:p>
        <w:p w:rsidR="00DA1DE5" w:rsidRDefault="00E66DA8">
          <w:pPr>
            <w:pStyle w:val="TOC3"/>
            <w:tabs>
              <w:tab w:val="left" w:pos="1100"/>
              <w:tab w:val="right" w:leader="dot" w:pos="9016"/>
            </w:tabs>
            <w:rPr>
              <w:noProof/>
              <w:lang w:val="en-GB" w:eastAsia="en-GB"/>
            </w:rPr>
          </w:pPr>
          <w:hyperlink w:anchor="_Toc460239100" w:history="1">
            <w:r w:rsidR="00DA1DE5" w:rsidRPr="00BF249F">
              <w:rPr>
                <w:rStyle w:val="Hyperlink"/>
                <w:rFonts w:cs="Times New Roman"/>
                <w:noProof/>
                <w:lang w:val="en-GB"/>
              </w:rPr>
              <w:t>3.3</w:t>
            </w:r>
            <w:r w:rsidR="00DA1DE5">
              <w:rPr>
                <w:noProof/>
                <w:lang w:val="en-GB" w:eastAsia="en-GB"/>
              </w:rPr>
              <w:tab/>
            </w:r>
            <w:r w:rsidR="00DA1DE5" w:rsidRPr="00BF249F">
              <w:rPr>
                <w:rStyle w:val="Hyperlink"/>
                <w:noProof/>
                <w:lang w:val="en-GB"/>
              </w:rPr>
              <w:t>CACM COMPLIANCE</w:t>
            </w:r>
            <w:r w:rsidR="00DA1DE5">
              <w:rPr>
                <w:noProof/>
                <w:webHidden/>
              </w:rPr>
              <w:tab/>
            </w:r>
            <w:r>
              <w:rPr>
                <w:noProof/>
                <w:webHidden/>
              </w:rPr>
              <w:fldChar w:fldCharType="begin"/>
            </w:r>
            <w:r w:rsidR="00DA1DE5">
              <w:rPr>
                <w:noProof/>
                <w:webHidden/>
              </w:rPr>
              <w:instrText xml:space="preserve"> PAGEREF _Toc460239100 \h </w:instrText>
            </w:r>
            <w:r>
              <w:rPr>
                <w:noProof/>
                <w:webHidden/>
              </w:rPr>
            </w:r>
            <w:r>
              <w:rPr>
                <w:noProof/>
                <w:webHidden/>
              </w:rPr>
              <w:fldChar w:fldCharType="separate"/>
            </w:r>
            <w:r w:rsidR="004E469A">
              <w:rPr>
                <w:noProof/>
                <w:webHidden/>
              </w:rPr>
              <w:t>5</w:t>
            </w:r>
            <w:r>
              <w:rPr>
                <w:noProof/>
                <w:webHidden/>
              </w:rPr>
              <w:fldChar w:fldCharType="end"/>
            </w:r>
          </w:hyperlink>
        </w:p>
        <w:p w:rsidR="00DA1DE5" w:rsidRDefault="00E66DA8">
          <w:pPr>
            <w:pStyle w:val="TOC3"/>
            <w:tabs>
              <w:tab w:val="left" w:pos="1100"/>
              <w:tab w:val="right" w:leader="dot" w:pos="9016"/>
            </w:tabs>
            <w:rPr>
              <w:noProof/>
              <w:lang w:val="en-GB" w:eastAsia="en-GB"/>
            </w:rPr>
          </w:pPr>
          <w:hyperlink w:anchor="_Toc460239101" w:history="1">
            <w:r w:rsidR="00DA1DE5" w:rsidRPr="00BF249F">
              <w:rPr>
                <w:rStyle w:val="Hyperlink"/>
                <w:rFonts w:cs="Times New Roman"/>
                <w:noProof/>
                <w:lang w:val="en-GB"/>
              </w:rPr>
              <w:t>3.4</w:t>
            </w:r>
            <w:r w:rsidR="00DA1DE5">
              <w:rPr>
                <w:noProof/>
                <w:lang w:val="en-GB" w:eastAsia="en-GB"/>
              </w:rPr>
              <w:tab/>
            </w:r>
            <w:r w:rsidR="00DA1DE5" w:rsidRPr="00BF249F">
              <w:rPr>
                <w:rStyle w:val="Hyperlink"/>
                <w:noProof/>
                <w:lang w:val="en-GB"/>
              </w:rPr>
              <w:t>REVOCATION OF DESIGNATION</w:t>
            </w:r>
            <w:r w:rsidR="00DA1DE5">
              <w:rPr>
                <w:noProof/>
                <w:webHidden/>
              </w:rPr>
              <w:tab/>
            </w:r>
            <w:r>
              <w:rPr>
                <w:noProof/>
                <w:webHidden/>
              </w:rPr>
              <w:fldChar w:fldCharType="begin"/>
            </w:r>
            <w:r w:rsidR="00DA1DE5">
              <w:rPr>
                <w:noProof/>
                <w:webHidden/>
              </w:rPr>
              <w:instrText xml:space="preserve"> PAGEREF _Toc460239101 \h </w:instrText>
            </w:r>
            <w:r>
              <w:rPr>
                <w:noProof/>
                <w:webHidden/>
              </w:rPr>
            </w:r>
            <w:r>
              <w:rPr>
                <w:noProof/>
                <w:webHidden/>
              </w:rPr>
              <w:fldChar w:fldCharType="separate"/>
            </w:r>
            <w:r w:rsidR="004E469A">
              <w:rPr>
                <w:noProof/>
                <w:webHidden/>
              </w:rPr>
              <w:t>6</w:t>
            </w:r>
            <w:r>
              <w:rPr>
                <w:noProof/>
                <w:webHidden/>
              </w:rPr>
              <w:fldChar w:fldCharType="end"/>
            </w:r>
          </w:hyperlink>
        </w:p>
        <w:p w:rsidR="00DA1DE5" w:rsidRDefault="00E66DA8">
          <w:pPr>
            <w:pStyle w:val="TOC3"/>
            <w:tabs>
              <w:tab w:val="left" w:pos="1100"/>
              <w:tab w:val="right" w:leader="dot" w:pos="9016"/>
            </w:tabs>
            <w:rPr>
              <w:noProof/>
              <w:lang w:val="en-GB" w:eastAsia="en-GB"/>
            </w:rPr>
          </w:pPr>
          <w:hyperlink w:anchor="_Toc460239102" w:history="1">
            <w:r w:rsidR="00DA1DE5" w:rsidRPr="00BF249F">
              <w:rPr>
                <w:rStyle w:val="Hyperlink"/>
                <w:rFonts w:cs="Times New Roman"/>
                <w:noProof/>
                <w:lang w:val="en-GB"/>
              </w:rPr>
              <w:t>3.5</w:t>
            </w:r>
            <w:r w:rsidR="00DA1DE5">
              <w:rPr>
                <w:noProof/>
                <w:lang w:val="en-GB" w:eastAsia="en-GB"/>
              </w:rPr>
              <w:tab/>
            </w:r>
            <w:r w:rsidR="00DA1DE5" w:rsidRPr="00BF249F">
              <w:rPr>
                <w:rStyle w:val="Hyperlink"/>
                <w:noProof/>
                <w:lang w:val="en-GB"/>
              </w:rPr>
              <w:t>RE-DESIGNATION</w:t>
            </w:r>
            <w:r w:rsidR="00DA1DE5">
              <w:rPr>
                <w:noProof/>
                <w:webHidden/>
              </w:rPr>
              <w:tab/>
            </w:r>
            <w:r>
              <w:rPr>
                <w:noProof/>
                <w:webHidden/>
              </w:rPr>
              <w:fldChar w:fldCharType="begin"/>
            </w:r>
            <w:r w:rsidR="00DA1DE5">
              <w:rPr>
                <w:noProof/>
                <w:webHidden/>
              </w:rPr>
              <w:instrText xml:space="preserve"> PAGEREF _Toc460239102 \h </w:instrText>
            </w:r>
            <w:r>
              <w:rPr>
                <w:noProof/>
                <w:webHidden/>
              </w:rPr>
            </w:r>
            <w:r>
              <w:rPr>
                <w:noProof/>
                <w:webHidden/>
              </w:rPr>
              <w:fldChar w:fldCharType="separate"/>
            </w:r>
            <w:r w:rsidR="004E469A">
              <w:rPr>
                <w:noProof/>
                <w:webHidden/>
              </w:rPr>
              <w:t>6</w:t>
            </w:r>
            <w:r>
              <w:rPr>
                <w:noProof/>
                <w:webHidden/>
              </w:rPr>
              <w:fldChar w:fldCharType="end"/>
            </w:r>
          </w:hyperlink>
        </w:p>
        <w:p w:rsidR="00DA1DE5" w:rsidRDefault="00E66DA8">
          <w:pPr>
            <w:pStyle w:val="TOC3"/>
            <w:tabs>
              <w:tab w:val="left" w:pos="1100"/>
              <w:tab w:val="right" w:leader="dot" w:pos="9016"/>
            </w:tabs>
            <w:rPr>
              <w:noProof/>
              <w:lang w:val="en-GB" w:eastAsia="en-GB"/>
            </w:rPr>
          </w:pPr>
          <w:hyperlink w:anchor="_Toc460239103" w:history="1">
            <w:r w:rsidR="00DA1DE5" w:rsidRPr="00BF249F">
              <w:rPr>
                <w:rStyle w:val="Hyperlink"/>
                <w:rFonts w:cs="Times New Roman"/>
                <w:noProof/>
                <w:lang w:val="en-GB"/>
              </w:rPr>
              <w:t>3.6</w:t>
            </w:r>
            <w:r w:rsidR="00DA1DE5">
              <w:rPr>
                <w:noProof/>
                <w:lang w:val="en-GB" w:eastAsia="en-GB"/>
              </w:rPr>
              <w:tab/>
            </w:r>
            <w:r w:rsidR="00DA1DE5" w:rsidRPr="00BF249F">
              <w:rPr>
                <w:rStyle w:val="Hyperlink"/>
                <w:noProof/>
                <w:lang w:val="en-GB"/>
              </w:rPr>
              <w:t>NEMO COORDINATION</w:t>
            </w:r>
            <w:r w:rsidR="00DA1DE5">
              <w:rPr>
                <w:noProof/>
                <w:webHidden/>
              </w:rPr>
              <w:tab/>
            </w:r>
            <w:r>
              <w:rPr>
                <w:noProof/>
                <w:webHidden/>
              </w:rPr>
              <w:fldChar w:fldCharType="begin"/>
            </w:r>
            <w:r w:rsidR="00DA1DE5">
              <w:rPr>
                <w:noProof/>
                <w:webHidden/>
              </w:rPr>
              <w:instrText xml:space="preserve"> PAGEREF _Toc460239103 \h </w:instrText>
            </w:r>
            <w:r>
              <w:rPr>
                <w:noProof/>
                <w:webHidden/>
              </w:rPr>
            </w:r>
            <w:r>
              <w:rPr>
                <w:noProof/>
                <w:webHidden/>
              </w:rPr>
              <w:fldChar w:fldCharType="separate"/>
            </w:r>
            <w:r w:rsidR="004E469A">
              <w:rPr>
                <w:noProof/>
                <w:webHidden/>
              </w:rPr>
              <w:t>6</w:t>
            </w:r>
            <w:r>
              <w:rPr>
                <w:noProof/>
                <w:webHidden/>
              </w:rPr>
              <w:fldChar w:fldCharType="end"/>
            </w:r>
          </w:hyperlink>
        </w:p>
        <w:p w:rsidR="00DA1DE5" w:rsidRDefault="00E66DA8">
          <w:pPr>
            <w:pStyle w:val="TOC1"/>
            <w:tabs>
              <w:tab w:val="left" w:pos="440"/>
              <w:tab w:val="right" w:leader="dot" w:pos="9016"/>
            </w:tabs>
            <w:rPr>
              <w:noProof/>
              <w:sz w:val="22"/>
              <w:szCs w:val="22"/>
              <w:lang w:val="en-GB" w:eastAsia="en-GB"/>
            </w:rPr>
          </w:pPr>
          <w:hyperlink w:anchor="_Toc460239106" w:history="1">
            <w:r w:rsidR="00DA1DE5" w:rsidRPr="00BF249F">
              <w:rPr>
                <w:rStyle w:val="Hyperlink"/>
                <w:rFonts w:asciiTheme="majorHAnsi" w:eastAsiaTheme="majorEastAsia" w:hAnsiTheme="majorHAnsi" w:cs="Times New Roman"/>
                <w:noProof/>
              </w:rPr>
              <w:t>4</w:t>
            </w:r>
            <w:r w:rsidR="00DA1DE5">
              <w:rPr>
                <w:noProof/>
                <w:sz w:val="22"/>
                <w:szCs w:val="22"/>
                <w:lang w:val="en-GB" w:eastAsia="en-GB"/>
              </w:rPr>
              <w:tab/>
            </w:r>
            <w:r w:rsidR="00DA1DE5" w:rsidRPr="00BF249F">
              <w:rPr>
                <w:rStyle w:val="Hyperlink"/>
                <w:rFonts w:cs="Times New Roman"/>
                <w:noProof/>
                <w:lang w:val="en-GB"/>
              </w:rPr>
              <w:t>REGULATION OF NEMOS THROUGH LICENCE</w:t>
            </w:r>
            <w:r w:rsidR="00DA1DE5">
              <w:rPr>
                <w:noProof/>
                <w:webHidden/>
              </w:rPr>
              <w:tab/>
            </w:r>
            <w:r>
              <w:rPr>
                <w:noProof/>
                <w:webHidden/>
              </w:rPr>
              <w:fldChar w:fldCharType="begin"/>
            </w:r>
            <w:r w:rsidR="00DA1DE5">
              <w:rPr>
                <w:noProof/>
                <w:webHidden/>
              </w:rPr>
              <w:instrText xml:space="preserve"> PAGEREF _Toc460239106 \h </w:instrText>
            </w:r>
            <w:r>
              <w:rPr>
                <w:noProof/>
                <w:webHidden/>
              </w:rPr>
            </w:r>
            <w:r>
              <w:rPr>
                <w:noProof/>
                <w:webHidden/>
              </w:rPr>
              <w:fldChar w:fldCharType="separate"/>
            </w:r>
            <w:r w:rsidR="004E469A">
              <w:rPr>
                <w:noProof/>
                <w:webHidden/>
              </w:rPr>
              <w:t>6</w:t>
            </w:r>
            <w:r>
              <w:rPr>
                <w:noProof/>
                <w:webHidden/>
              </w:rPr>
              <w:fldChar w:fldCharType="end"/>
            </w:r>
          </w:hyperlink>
        </w:p>
        <w:p w:rsidR="00DA1DE5" w:rsidRDefault="00E66DA8">
          <w:pPr>
            <w:pStyle w:val="TOC3"/>
            <w:tabs>
              <w:tab w:val="left" w:pos="1100"/>
              <w:tab w:val="right" w:leader="dot" w:pos="9016"/>
            </w:tabs>
            <w:rPr>
              <w:noProof/>
              <w:lang w:val="en-GB" w:eastAsia="en-GB"/>
            </w:rPr>
          </w:pPr>
          <w:hyperlink w:anchor="_Toc460239107" w:history="1">
            <w:r w:rsidR="00DA1DE5" w:rsidRPr="00BF249F">
              <w:rPr>
                <w:rStyle w:val="Hyperlink"/>
                <w:rFonts w:cs="Times New Roman"/>
                <w:noProof/>
                <w:lang w:val="en-GB"/>
              </w:rPr>
              <w:t>4.1</w:t>
            </w:r>
            <w:r w:rsidR="00DA1DE5">
              <w:rPr>
                <w:noProof/>
                <w:lang w:val="en-GB" w:eastAsia="en-GB"/>
              </w:rPr>
              <w:tab/>
            </w:r>
            <w:r w:rsidR="00DA1DE5" w:rsidRPr="00BF249F">
              <w:rPr>
                <w:rStyle w:val="Hyperlink"/>
                <w:noProof/>
                <w:lang w:val="en-GB"/>
              </w:rPr>
              <w:t>NEMO ACTIVITIES AS A LICENCABLE ACTIVITY</w:t>
            </w:r>
            <w:r w:rsidR="00DA1DE5">
              <w:rPr>
                <w:noProof/>
                <w:webHidden/>
              </w:rPr>
              <w:tab/>
            </w:r>
            <w:r>
              <w:rPr>
                <w:noProof/>
                <w:webHidden/>
              </w:rPr>
              <w:fldChar w:fldCharType="begin"/>
            </w:r>
            <w:r w:rsidR="00DA1DE5">
              <w:rPr>
                <w:noProof/>
                <w:webHidden/>
              </w:rPr>
              <w:instrText xml:space="preserve"> PAGEREF _Toc460239107 \h </w:instrText>
            </w:r>
            <w:r>
              <w:rPr>
                <w:noProof/>
                <w:webHidden/>
              </w:rPr>
            </w:r>
            <w:r>
              <w:rPr>
                <w:noProof/>
                <w:webHidden/>
              </w:rPr>
              <w:fldChar w:fldCharType="separate"/>
            </w:r>
            <w:r w:rsidR="004E469A">
              <w:rPr>
                <w:noProof/>
                <w:webHidden/>
              </w:rPr>
              <w:t>6</w:t>
            </w:r>
            <w:r>
              <w:rPr>
                <w:noProof/>
                <w:webHidden/>
              </w:rPr>
              <w:fldChar w:fldCharType="end"/>
            </w:r>
          </w:hyperlink>
        </w:p>
        <w:p w:rsidR="00DA1DE5" w:rsidRDefault="00E66DA8">
          <w:pPr>
            <w:pStyle w:val="TOC3"/>
            <w:tabs>
              <w:tab w:val="left" w:pos="1100"/>
              <w:tab w:val="right" w:leader="dot" w:pos="9016"/>
            </w:tabs>
            <w:rPr>
              <w:noProof/>
              <w:lang w:val="en-GB" w:eastAsia="en-GB"/>
            </w:rPr>
          </w:pPr>
          <w:hyperlink w:anchor="_Toc460239108" w:history="1">
            <w:r w:rsidR="00DA1DE5" w:rsidRPr="00BF249F">
              <w:rPr>
                <w:rStyle w:val="Hyperlink"/>
                <w:rFonts w:cs="Times New Roman"/>
                <w:noProof/>
                <w:lang w:val="en-GB"/>
              </w:rPr>
              <w:t>4.2</w:t>
            </w:r>
            <w:r w:rsidR="00DA1DE5">
              <w:rPr>
                <w:noProof/>
                <w:lang w:val="en-GB" w:eastAsia="en-GB"/>
              </w:rPr>
              <w:tab/>
            </w:r>
            <w:r w:rsidR="00DA1DE5" w:rsidRPr="00BF249F">
              <w:rPr>
                <w:rStyle w:val="Hyperlink"/>
                <w:noProof/>
                <w:lang w:val="en-GB"/>
              </w:rPr>
              <w:t>EXISTING LICENCE PROVISIONS AND PROPOSED CHANGES</w:t>
            </w:r>
            <w:r w:rsidR="00DA1DE5">
              <w:rPr>
                <w:noProof/>
                <w:webHidden/>
              </w:rPr>
              <w:tab/>
            </w:r>
            <w:r>
              <w:rPr>
                <w:noProof/>
                <w:webHidden/>
              </w:rPr>
              <w:fldChar w:fldCharType="begin"/>
            </w:r>
            <w:r w:rsidR="00DA1DE5">
              <w:rPr>
                <w:noProof/>
                <w:webHidden/>
              </w:rPr>
              <w:instrText xml:space="preserve"> PAGEREF _Toc460239108 \h </w:instrText>
            </w:r>
            <w:r>
              <w:rPr>
                <w:noProof/>
                <w:webHidden/>
              </w:rPr>
            </w:r>
            <w:r>
              <w:rPr>
                <w:noProof/>
                <w:webHidden/>
              </w:rPr>
              <w:fldChar w:fldCharType="separate"/>
            </w:r>
            <w:r w:rsidR="004E469A">
              <w:rPr>
                <w:noProof/>
                <w:webHidden/>
              </w:rPr>
              <w:t>7</w:t>
            </w:r>
            <w:r>
              <w:rPr>
                <w:noProof/>
                <w:webHidden/>
              </w:rPr>
              <w:fldChar w:fldCharType="end"/>
            </w:r>
          </w:hyperlink>
        </w:p>
        <w:p w:rsidR="00DA1DE5" w:rsidRDefault="00E66DA8">
          <w:pPr>
            <w:pStyle w:val="TOC3"/>
            <w:tabs>
              <w:tab w:val="left" w:pos="1100"/>
              <w:tab w:val="right" w:leader="dot" w:pos="9016"/>
            </w:tabs>
            <w:rPr>
              <w:noProof/>
              <w:lang w:val="en-GB" w:eastAsia="en-GB"/>
            </w:rPr>
          </w:pPr>
          <w:hyperlink w:anchor="_Toc460239109" w:history="1">
            <w:r w:rsidR="00DA1DE5" w:rsidRPr="00BF249F">
              <w:rPr>
                <w:rStyle w:val="Hyperlink"/>
                <w:rFonts w:cs="Times New Roman"/>
                <w:noProof/>
                <w:lang w:val="en-GB"/>
              </w:rPr>
              <w:t>4.3</w:t>
            </w:r>
            <w:r w:rsidR="00DA1DE5">
              <w:rPr>
                <w:noProof/>
                <w:lang w:val="en-GB" w:eastAsia="en-GB"/>
              </w:rPr>
              <w:tab/>
            </w:r>
            <w:r w:rsidR="00DA1DE5" w:rsidRPr="00BF249F">
              <w:rPr>
                <w:rStyle w:val="Hyperlink"/>
                <w:noProof/>
                <w:lang w:val="en-GB"/>
              </w:rPr>
              <w:t>PROPOSED MARKET OPERATOR LICENCE CHANGE</w:t>
            </w:r>
            <w:r w:rsidR="00DA1DE5">
              <w:rPr>
                <w:noProof/>
                <w:webHidden/>
              </w:rPr>
              <w:tab/>
            </w:r>
            <w:r>
              <w:rPr>
                <w:noProof/>
                <w:webHidden/>
              </w:rPr>
              <w:fldChar w:fldCharType="begin"/>
            </w:r>
            <w:r w:rsidR="00DA1DE5">
              <w:rPr>
                <w:noProof/>
                <w:webHidden/>
              </w:rPr>
              <w:instrText xml:space="preserve"> PAGEREF _Toc460239109 \h </w:instrText>
            </w:r>
            <w:r>
              <w:rPr>
                <w:noProof/>
                <w:webHidden/>
              </w:rPr>
            </w:r>
            <w:r>
              <w:rPr>
                <w:noProof/>
                <w:webHidden/>
              </w:rPr>
              <w:fldChar w:fldCharType="separate"/>
            </w:r>
            <w:r w:rsidR="004E469A">
              <w:rPr>
                <w:noProof/>
                <w:webHidden/>
              </w:rPr>
              <w:t>7</w:t>
            </w:r>
            <w:r>
              <w:rPr>
                <w:noProof/>
                <w:webHidden/>
              </w:rPr>
              <w:fldChar w:fldCharType="end"/>
            </w:r>
          </w:hyperlink>
        </w:p>
        <w:p w:rsidR="00DA1DE5" w:rsidRDefault="00E66DA8">
          <w:pPr>
            <w:pStyle w:val="TOC3"/>
            <w:tabs>
              <w:tab w:val="left" w:pos="1100"/>
              <w:tab w:val="right" w:leader="dot" w:pos="9016"/>
            </w:tabs>
            <w:rPr>
              <w:noProof/>
              <w:lang w:val="en-GB" w:eastAsia="en-GB"/>
            </w:rPr>
          </w:pPr>
          <w:hyperlink w:anchor="_Toc460239110" w:history="1">
            <w:r w:rsidR="00DA1DE5" w:rsidRPr="00BF249F">
              <w:rPr>
                <w:rStyle w:val="Hyperlink"/>
                <w:rFonts w:cs="Times New Roman"/>
                <w:noProof/>
                <w:lang w:val="en-GB"/>
              </w:rPr>
              <w:t>4.4</w:t>
            </w:r>
            <w:r w:rsidR="00DA1DE5">
              <w:rPr>
                <w:noProof/>
                <w:lang w:val="en-GB" w:eastAsia="en-GB"/>
              </w:rPr>
              <w:tab/>
            </w:r>
            <w:r w:rsidR="00DA1DE5" w:rsidRPr="00BF249F">
              <w:rPr>
                <w:rStyle w:val="Hyperlink"/>
                <w:noProof/>
                <w:lang w:val="en-GB"/>
              </w:rPr>
              <w:t>RATIONALE BEHIND APPROACH</w:t>
            </w:r>
            <w:r w:rsidR="00DA1DE5">
              <w:rPr>
                <w:noProof/>
                <w:webHidden/>
              </w:rPr>
              <w:tab/>
            </w:r>
            <w:r>
              <w:rPr>
                <w:noProof/>
                <w:webHidden/>
              </w:rPr>
              <w:fldChar w:fldCharType="begin"/>
            </w:r>
            <w:r w:rsidR="00DA1DE5">
              <w:rPr>
                <w:noProof/>
                <w:webHidden/>
              </w:rPr>
              <w:instrText xml:space="preserve"> PAGEREF _Toc460239110 \h </w:instrText>
            </w:r>
            <w:r>
              <w:rPr>
                <w:noProof/>
                <w:webHidden/>
              </w:rPr>
            </w:r>
            <w:r>
              <w:rPr>
                <w:noProof/>
                <w:webHidden/>
              </w:rPr>
              <w:fldChar w:fldCharType="separate"/>
            </w:r>
            <w:r w:rsidR="004E469A">
              <w:rPr>
                <w:noProof/>
                <w:webHidden/>
              </w:rPr>
              <w:t>8</w:t>
            </w:r>
            <w:r>
              <w:rPr>
                <w:noProof/>
                <w:webHidden/>
              </w:rPr>
              <w:fldChar w:fldCharType="end"/>
            </w:r>
          </w:hyperlink>
        </w:p>
        <w:p w:rsidR="00DA1DE5" w:rsidRDefault="00E66DA8">
          <w:pPr>
            <w:pStyle w:val="TOC3"/>
            <w:tabs>
              <w:tab w:val="left" w:pos="1100"/>
              <w:tab w:val="right" w:leader="dot" w:pos="9016"/>
            </w:tabs>
            <w:rPr>
              <w:noProof/>
              <w:lang w:val="en-GB" w:eastAsia="en-GB"/>
            </w:rPr>
          </w:pPr>
          <w:hyperlink w:anchor="_Toc460239111" w:history="1">
            <w:r w:rsidR="00DA1DE5" w:rsidRPr="00BF249F">
              <w:rPr>
                <w:rStyle w:val="Hyperlink"/>
                <w:rFonts w:cs="Times New Roman"/>
                <w:noProof/>
                <w:lang w:val="en-GB"/>
              </w:rPr>
              <w:t>4.5</w:t>
            </w:r>
            <w:r w:rsidR="00DA1DE5">
              <w:rPr>
                <w:noProof/>
                <w:lang w:val="en-GB" w:eastAsia="en-GB"/>
              </w:rPr>
              <w:tab/>
            </w:r>
            <w:r w:rsidR="00DA1DE5" w:rsidRPr="00BF249F">
              <w:rPr>
                <w:rStyle w:val="Hyperlink"/>
                <w:noProof/>
                <w:lang w:val="en-GB"/>
              </w:rPr>
              <w:t>PRICE REGULATION</w:t>
            </w:r>
            <w:r w:rsidR="00DA1DE5">
              <w:rPr>
                <w:noProof/>
                <w:webHidden/>
              </w:rPr>
              <w:tab/>
            </w:r>
            <w:r>
              <w:rPr>
                <w:noProof/>
                <w:webHidden/>
              </w:rPr>
              <w:fldChar w:fldCharType="begin"/>
            </w:r>
            <w:r w:rsidR="00DA1DE5">
              <w:rPr>
                <w:noProof/>
                <w:webHidden/>
              </w:rPr>
              <w:instrText xml:space="preserve"> PAGEREF _Toc460239111 \h </w:instrText>
            </w:r>
            <w:r>
              <w:rPr>
                <w:noProof/>
                <w:webHidden/>
              </w:rPr>
            </w:r>
            <w:r>
              <w:rPr>
                <w:noProof/>
                <w:webHidden/>
              </w:rPr>
              <w:fldChar w:fldCharType="separate"/>
            </w:r>
            <w:r w:rsidR="004E469A">
              <w:rPr>
                <w:noProof/>
                <w:webHidden/>
              </w:rPr>
              <w:t>8</w:t>
            </w:r>
            <w:r>
              <w:rPr>
                <w:noProof/>
                <w:webHidden/>
              </w:rPr>
              <w:fldChar w:fldCharType="end"/>
            </w:r>
          </w:hyperlink>
        </w:p>
        <w:p w:rsidR="00DA1DE5" w:rsidRDefault="00E66DA8">
          <w:pPr>
            <w:pStyle w:val="TOC3"/>
            <w:tabs>
              <w:tab w:val="left" w:pos="1100"/>
              <w:tab w:val="right" w:leader="dot" w:pos="9016"/>
            </w:tabs>
            <w:rPr>
              <w:noProof/>
              <w:lang w:val="en-GB" w:eastAsia="en-GB"/>
            </w:rPr>
          </w:pPr>
          <w:hyperlink w:anchor="_Toc460239113" w:history="1">
            <w:r w:rsidR="00DA1DE5" w:rsidRPr="00BF249F">
              <w:rPr>
                <w:rStyle w:val="Hyperlink"/>
                <w:rFonts w:cs="Times New Roman"/>
                <w:noProof/>
                <w:lang w:val="en-GB"/>
              </w:rPr>
              <w:t>4.6</w:t>
            </w:r>
            <w:r w:rsidR="00DA1DE5">
              <w:rPr>
                <w:noProof/>
                <w:lang w:val="en-GB" w:eastAsia="en-GB"/>
              </w:rPr>
              <w:tab/>
            </w:r>
            <w:r w:rsidR="00DA1DE5" w:rsidRPr="00BF249F">
              <w:rPr>
                <w:rStyle w:val="Hyperlink"/>
                <w:noProof/>
                <w:lang w:val="en-GB"/>
              </w:rPr>
              <w:t>CONCLUSION</w:t>
            </w:r>
            <w:r w:rsidR="00DA1DE5">
              <w:rPr>
                <w:noProof/>
                <w:webHidden/>
              </w:rPr>
              <w:tab/>
            </w:r>
            <w:r>
              <w:rPr>
                <w:noProof/>
                <w:webHidden/>
              </w:rPr>
              <w:fldChar w:fldCharType="begin"/>
            </w:r>
            <w:r w:rsidR="00DA1DE5">
              <w:rPr>
                <w:noProof/>
                <w:webHidden/>
              </w:rPr>
              <w:instrText xml:space="preserve"> PAGEREF _Toc460239113 \h </w:instrText>
            </w:r>
            <w:r>
              <w:rPr>
                <w:noProof/>
                <w:webHidden/>
              </w:rPr>
            </w:r>
            <w:r>
              <w:rPr>
                <w:noProof/>
                <w:webHidden/>
              </w:rPr>
              <w:fldChar w:fldCharType="separate"/>
            </w:r>
            <w:r w:rsidR="004E469A">
              <w:rPr>
                <w:noProof/>
                <w:webHidden/>
              </w:rPr>
              <w:t>9</w:t>
            </w:r>
            <w:r>
              <w:rPr>
                <w:noProof/>
                <w:webHidden/>
              </w:rPr>
              <w:fldChar w:fldCharType="end"/>
            </w:r>
          </w:hyperlink>
        </w:p>
        <w:p w:rsidR="00DA1DE5" w:rsidRDefault="00E66DA8">
          <w:pPr>
            <w:pStyle w:val="TOC1"/>
            <w:tabs>
              <w:tab w:val="left" w:pos="440"/>
              <w:tab w:val="right" w:leader="dot" w:pos="9016"/>
            </w:tabs>
            <w:rPr>
              <w:noProof/>
              <w:sz w:val="22"/>
              <w:szCs w:val="22"/>
              <w:lang w:val="en-GB" w:eastAsia="en-GB"/>
            </w:rPr>
          </w:pPr>
          <w:hyperlink w:anchor="_Toc460239114" w:history="1">
            <w:r w:rsidR="00DA1DE5" w:rsidRPr="00BF249F">
              <w:rPr>
                <w:rStyle w:val="Hyperlink"/>
                <w:rFonts w:cs="Times New Roman"/>
                <w:noProof/>
                <w:lang w:val="en-GB"/>
              </w:rPr>
              <w:t>5</w:t>
            </w:r>
            <w:r w:rsidR="00DA1DE5">
              <w:rPr>
                <w:noProof/>
                <w:sz w:val="22"/>
                <w:szCs w:val="22"/>
                <w:lang w:val="en-GB" w:eastAsia="en-GB"/>
              </w:rPr>
              <w:tab/>
            </w:r>
            <w:r w:rsidR="00DA1DE5" w:rsidRPr="00BF249F">
              <w:rPr>
                <w:rStyle w:val="Hyperlink"/>
                <w:noProof/>
                <w:lang w:val="en-GB"/>
              </w:rPr>
              <w:t>I-SEM LOCAL ARRANGEMENTS AND INTERACTION WITH THE BALANCING MARKET</w:t>
            </w:r>
            <w:r w:rsidR="00DA1DE5">
              <w:rPr>
                <w:noProof/>
                <w:webHidden/>
              </w:rPr>
              <w:tab/>
            </w:r>
            <w:r>
              <w:rPr>
                <w:noProof/>
                <w:webHidden/>
              </w:rPr>
              <w:fldChar w:fldCharType="begin"/>
            </w:r>
            <w:r w:rsidR="00DA1DE5">
              <w:rPr>
                <w:noProof/>
                <w:webHidden/>
              </w:rPr>
              <w:instrText xml:space="preserve"> PAGEREF _Toc460239114 \h </w:instrText>
            </w:r>
            <w:r>
              <w:rPr>
                <w:noProof/>
                <w:webHidden/>
              </w:rPr>
            </w:r>
            <w:r>
              <w:rPr>
                <w:noProof/>
                <w:webHidden/>
              </w:rPr>
              <w:fldChar w:fldCharType="separate"/>
            </w:r>
            <w:r w:rsidR="004E469A">
              <w:rPr>
                <w:noProof/>
                <w:webHidden/>
              </w:rPr>
              <w:t>10</w:t>
            </w:r>
            <w:r>
              <w:rPr>
                <w:noProof/>
                <w:webHidden/>
              </w:rPr>
              <w:fldChar w:fldCharType="end"/>
            </w:r>
          </w:hyperlink>
        </w:p>
        <w:p w:rsidR="00DA1DE5" w:rsidRDefault="00E66DA8">
          <w:pPr>
            <w:pStyle w:val="TOC3"/>
            <w:tabs>
              <w:tab w:val="left" w:pos="1100"/>
              <w:tab w:val="right" w:leader="dot" w:pos="9016"/>
            </w:tabs>
            <w:rPr>
              <w:noProof/>
              <w:lang w:val="en-GB" w:eastAsia="en-GB"/>
            </w:rPr>
          </w:pPr>
          <w:hyperlink w:anchor="_Toc460239115" w:history="1">
            <w:r w:rsidR="00DA1DE5" w:rsidRPr="00BF249F">
              <w:rPr>
                <w:rStyle w:val="Hyperlink"/>
                <w:rFonts w:cs="Times New Roman"/>
                <w:noProof/>
                <w:lang w:val="en-GB"/>
              </w:rPr>
              <w:t>5.1</w:t>
            </w:r>
            <w:r w:rsidR="00DA1DE5">
              <w:rPr>
                <w:noProof/>
                <w:lang w:val="en-GB" w:eastAsia="en-GB"/>
              </w:rPr>
              <w:tab/>
            </w:r>
            <w:r w:rsidR="00DA1DE5" w:rsidRPr="00BF249F">
              <w:rPr>
                <w:rStyle w:val="Hyperlink"/>
                <w:noProof/>
                <w:lang w:val="en-GB"/>
              </w:rPr>
              <w:t>I-SEM LOCAL ARRANGEMENTS</w:t>
            </w:r>
            <w:r w:rsidR="00DA1DE5">
              <w:rPr>
                <w:noProof/>
                <w:webHidden/>
              </w:rPr>
              <w:tab/>
            </w:r>
            <w:r>
              <w:rPr>
                <w:noProof/>
                <w:webHidden/>
              </w:rPr>
              <w:fldChar w:fldCharType="begin"/>
            </w:r>
            <w:r w:rsidR="00DA1DE5">
              <w:rPr>
                <w:noProof/>
                <w:webHidden/>
              </w:rPr>
              <w:instrText xml:space="preserve"> PAGEREF _Toc460239115 \h </w:instrText>
            </w:r>
            <w:r>
              <w:rPr>
                <w:noProof/>
                <w:webHidden/>
              </w:rPr>
            </w:r>
            <w:r>
              <w:rPr>
                <w:noProof/>
                <w:webHidden/>
              </w:rPr>
              <w:fldChar w:fldCharType="separate"/>
            </w:r>
            <w:r w:rsidR="004E469A">
              <w:rPr>
                <w:noProof/>
                <w:webHidden/>
              </w:rPr>
              <w:t>10</w:t>
            </w:r>
            <w:r>
              <w:rPr>
                <w:noProof/>
                <w:webHidden/>
              </w:rPr>
              <w:fldChar w:fldCharType="end"/>
            </w:r>
          </w:hyperlink>
        </w:p>
        <w:p w:rsidR="00DA1DE5" w:rsidRDefault="00E66DA8">
          <w:pPr>
            <w:pStyle w:val="TOC3"/>
            <w:tabs>
              <w:tab w:val="left" w:pos="1100"/>
              <w:tab w:val="right" w:leader="dot" w:pos="9016"/>
            </w:tabs>
            <w:rPr>
              <w:noProof/>
              <w:lang w:val="en-GB" w:eastAsia="en-GB"/>
            </w:rPr>
          </w:pPr>
          <w:hyperlink w:anchor="_Toc460239116" w:history="1">
            <w:r w:rsidR="00DA1DE5" w:rsidRPr="00BF249F">
              <w:rPr>
                <w:rStyle w:val="Hyperlink"/>
                <w:rFonts w:cs="Times New Roman"/>
                <w:noProof/>
                <w:lang w:val="en-GB"/>
              </w:rPr>
              <w:t>5.2</w:t>
            </w:r>
            <w:r w:rsidR="00DA1DE5">
              <w:rPr>
                <w:noProof/>
                <w:lang w:val="en-GB" w:eastAsia="en-GB"/>
              </w:rPr>
              <w:tab/>
            </w:r>
            <w:r w:rsidR="00DA1DE5" w:rsidRPr="00BF249F">
              <w:rPr>
                <w:rStyle w:val="Hyperlink"/>
                <w:noProof/>
                <w:lang w:val="en-GB"/>
              </w:rPr>
              <w:t>THE PROVISION OF SPECIFIC DAY AHEAD PRODUCTS AND INTRA-DAY SOLUTIONS</w:t>
            </w:r>
            <w:r w:rsidR="00DA1DE5">
              <w:rPr>
                <w:noProof/>
                <w:webHidden/>
              </w:rPr>
              <w:tab/>
            </w:r>
            <w:r>
              <w:rPr>
                <w:noProof/>
                <w:webHidden/>
              </w:rPr>
              <w:fldChar w:fldCharType="begin"/>
            </w:r>
            <w:r w:rsidR="00DA1DE5">
              <w:rPr>
                <w:noProof/>
                <w:webHidden/>
              </w:rPr>
              <w:instrText xml:space="preserve"> PAGEREF _Toc460239116 \h </w:instrText>
            </w:r>
            <w:r>
              <w:rPr>
                <w:noProof/>
                <w:webHidden/>
              </w:rPr>
            </w:r>
            <w:r>
              <w:rPr>
                <w:noProof/>
                <w:webHidden/>
              </w:rPr>
              <w:fldChar w:fldCharType="separate"/>
            </w:r>
            <w:r w:rsidR="004E469A">
              <w:rPr>
                <w:noProof/>
                <w:webHidden/>
              </w:rPr>
              <w:t>10</w:t>
            </w:r>
            <w:r>
              <w:rPr>
                <w:noProof/>
                <w:webHidden/>
              </w:rPr>
              <w:fldChar w:fldCharType="end"/>
            </w:r>
          </w:hyperlink>
        </w:p>
        <w:p w:rsidR="00DA1DE5" w:rsidRDefault="00E66DA8">
          <w:pPr>
            <w:pStyle w:val="TOC3"/>
            <w:tabs>
              <w:tab w:val="left" w:pos="1100"/>
              <w:tab w:val="right" w:leader="dot" w:pos="9016"/>
            </w:tabs>
            <w:rPr>
              <w:noProof/>
              <w:lang w:val="en-GB" w:eastAsia="en-GB"/>
            </w:rPr>
          </w:pPr>
          <w:hyperlink w:anchor="_Toc460239117" w:history="1">
            <w:r w:rsidR="00DA1DE5" w:rsidRPr="00BF249F">
              <w:rPr>
                <w:rStyle w:val="Hyperlink"/>
                <w:rFonts w:cs="Times New Roman"/>
                <w:noProof/>
                <w:lang w:val="en-GB"/>
              </w:rPr>
              <w:t>5.3</w:t>
            </w:r>
            <w:r w:rsidR="00DA1DE5">
              <w:rPr>
                <w:noProof/>
                <w:lang w:val="en-GB" w:eastAsia="en-GB"/>
              </w:rPr>
              <w:tab/>
            </w:r>
            <w:r w:rsidR="00DA1DE5" w:rsidRPr="00BF249F">
              <w:rPr>
                <w:rStyle w:val="Hyperlink"/>
                <w:noProof/>
                <w:lang w:val="en-GB"/>
              </w:rPr>
              <w:t>DATA PROVISION REQUIREMENTS</w:t>
            </w:r>
            <w:r w:rsidR="00DA1DE5">
              <w:rPr>
                <w:noProof/>
                <w:webHidden/>
              </w:rPr>
              <w:tab/>
            </w:r>
            <w:r>
              <w:rPr>
                <w:noProof/>
                <w:webHidden/>
              </w:rPr>
              <w:fldChar w:fldCharType="begin"/>
            </w:r>
            <w:r w:rsidR="00DA1DE5">
              <w:rPr>
                <w:noProof/>
                <w:webHidden/>
              </w:rPr>
              <w:instrText xml:space="preserve"> PAGEREF _Toc460239117 \h </w:instrText>
            </w:r>
            <w:r>
              <w:rPr>
                <w:noProof/>
                <w:webHidden/>
              </w:rPr>
            </w:r>
            <w:r>
              <w:rPr>
                <w:noProof/>
                <w:webHidden/>
              </w:rPr>
              <w:fldChar w:fldCharType="separate"/>
            </w:r>
            <w:r w:rsidR="004E469A">
              <w:rPr>
                <w:noProof/>
                <w:webHidden/>
              </w:rPr>
              <w:t>11</w:t>
            </w:r>
            <w:r>
              <w:rPr>
                <w:noProof/>
                <w:webHidden/>
              </w:rPr>
              <w:fldChar w:fldCharType="end"/>
            </w:r>
          </w:hyperlink>
        </w:p>
        <w:p w:rsidR="00DA1DE5" w:rsidRDefault="00E66DA8">
          <w:pPr>
            <w:pStyle w:val="TOC3"/>
            <w:tabs>
              <w:tab w:val="left" w:pos="1100"/>
              <w:tab w:val="right" w:leader="dot" w:pos="9016"/>
            </w:tabs>
            <w:rPr>
              <w:noProof/>
              <w:lang w:val="en-GB" w:eastAsia="en-GB"/>
            </w:rPr>
          </w:pPr>
          <w:hyperlink w:anchor="_Toc460239118" w:history="1">
            <w:r w:rsidR="00DA1DE5" w:rsidRPr="00BF249F">
              <w:rPr>
                <w:rStyle w:val="Hyperlink"/>
                <w:rFonts w:cs="Times New Roman"/>
                <w:noProof/>
                <w:lang w:val="en-GB"/>
              </w:rPr>
              <w:t>5.4</w:t>
            </w:r>
            <w:r w:rsidR="00DA1DE5">
              <w:rPr>
                <w:noProof/>
                <w:lang w:val="en-GB" w:eastAsia="en-GB"/>
              </w:rPr>
              <w:tab/>
            </w:r>
            <w:r w:rsidR="00DA1DE5" w:rsidRPr="00BF249F">
              <w:rPr>
                <w:rStyle w:val="Hyperlink"/>
                <w:noProof/>
                <w:lang w:val="en-GB"/>
              </w:rPr>
              <w:t>INTERACTION WITH THE BALANCING MARKET</w:t>
            </w:r>
            <w:r w:rsidR="00DA1DE5">
              <w:rPr>
                <w:noProof/>
                <w:webHidden/>
              </w:rPr>
              <w:tab/>
            </w:r>
            <w:r>
              <w:rPr>
                <w:noProof/>
                <w:webHidden/>
              </w:rPr>
              <w:fldChar w:fldCharType="begin"/>
            </w:r>
            <w:r w:rsidR="00DA1DE5">
              <w:rPr>
                <w:noProof/>
                <w:webHidden/>
              </w:rPr>
              <w:instrText xml:space="preserve"> PAGEREF _Toc460239118 \h </w:instrText>
            </w:r>
            <w:r>
              <w:rPr>
                <w:noProof/>
                <w:webHidden/>
              </w:rPr>
            </w:r>
            <w:r>
              <w:rPr>
                <w:noProof/>
                <w:webHidden/>
              </w:rPr>
              <w:fldChar w:fldCharType="separate"/>
            </w:r>
            <w:r w:rsidR="004E469A">
              <w:rPr>
                <w:noProof/>
                <w:webHidden/>
              </w:rPr>
              <w:t>12</w:t>
            </w:r>
            <w:r>
              <w:rPr>
                <w:noProof/>
                <w:webHidden/>
              </w:rPr>
              <w:fldChar w:fldCharType="end"/>
            </w:r>
          </w:hyperlink>
        </w:p>
        <w:p w:rsidR="00DA1DE5" w:rsidRDefault="00E66DA8">
          <w:pPr>
            <w:pStyle w:val="TOC1"/>
            <w:tabs>
              <w:tab w:val="left" w:pos="440"/>
              <w:tab w:val="right" w:leader="dot" w:pos="9016"/>
            </w:tabs>
            <w:rPr>
              <w:noProof/>
              <w:sz w:val="22"/>
              <w:szCs w:val="22"/>
              <w:lang w:val="en-GB" w:eastAsia="en-GB"/>
            </w:rPr>
          </w:pPr>
          <w:hyperlink w:anchor="_Toc460239120" w:history="1">
            <w:r w:rsidR="00DA1DE5" w:rsidRPr="00BF249F">
              <w:rPr>
                <w:rStyle w:val="Hyperlink"/>
                <w:rFonts w:cs="Times New Roman"/>
                <w:noProof/>
                <w:lang w:val="en-GB"/>
              </w:rPr>
              <w:t>6</w:t>
            </w:r>
            <w:r w:rsidR="00DA1DE5">
              <w:rPr>
                <w:noProof/>
                <w:sz w:val="22"/>
                <w:szCs w:val="22"/>
                <w:lang w:val="en-GB" w:eastAsia="en-GB"/>
              </w:rPr>
              <w:tab/>
            </w:r>
            <w:r w:rsidR="00DA1DE5" w:rsidRPr="00BF249F">
              <w:rPr>
                <w:rStyle w:val="Hyperlink"/>
                <w:noProof/>
                <w:lang w:val="en-GB"/>
              </w:rPr>
              <w:t>NEMO REGULATION THROUGH THE TRADING AND SETTLEMENT CODE</w:t>
            </w:r>
            <w:r w:rsidR="00DA1DE5">
              <w:rPr>
                <w:noProof/>
                <w:webHidden/>
              </w:rPr>
              <w:tab/>
            </w:r>
            <w:r>
              <w:rPr>
                <w:noProof/>
                <w:webHidden/>
              </w:rPr>
              <w:fldChar w:fldCharType="begin"/>
            </w:r>
            <w:r w:rsidR="00DA1DE5">
              <w:rPr>
                <w:noProof/>
                <w:webHidden/>
              </w:rPr>
              <w:instrText xml:space="preserve"> PAGEREF _Toc460239120 \h </w:instrText>
            </w:r>
            <w:r>
              <w:rPr>
                <w:noProof/>
                <w:webHidden/>
              </w:rPr>
            </w:r>
            <w:r>
              <w:rPr>
                <w:noProof/>
                <w:webHidden/>
              </w:rPr>
              <w:fldChar w:fldCharType="separate"/>
            </w:r>
            <w:r w:rsidR="004E469A">
              <w:rPr>
                <w:noProof/>
                <w:webHidden/>
              </w:rPr>
              <w:t>13</w:t>
            </w:r>
            <w:r>
              <w:rPr>
                <w:noProof/>
                <w:webHidden/>
              </w:rPr>
              <w:fldChar w:fldCharType="end"/>
            </w:r>
          </w:hyperlink>
        </w:p>
        <w:p w:rsidR="00DA1DE5" w:rsidRDefault="00E66DA8">
          <w:pPr>
            <w:pStyle w:val="TOC3"/>
            <w:tabs>
              <w:tab w:val="left" w:pos="1100"/>
              <w:tab w:val="right" w:leader="dot" w:pos="9016"/>
            </w:tabs>
            <w:rPr>
              <w:noProof/>
              <w:lang w:val="en-GB" w:eastAsia="en-GB"/>
            </w:rPr>
          </w:pPr>
          <w:hyperlink w:anchor="_Toc460239121" w:history="1">
            <w:r w:rsidR="00DA1DE5" w:rsidRPr="00BF249F">
              <w:rPr>
                <w:rStyle w:val="Hyperlink"/>
                <w:rFonts w:cs="Times New Roman"/>
                <w:noProof/>
                <w:lang w:val="en-GB"/>
              </w:rPr>
              <w:t>6.1</w:t>
            </w:r>
            <w:r w:rsidR="00DA1DE5">
              <w:rPr>
                <w:noProof/>
                <w:lang w:val="en-GB" w:eastAsia="en-GB"/>
              </w:rPr>
              <w:tab/>
            </w:r>
            <w:r w:rsidR="00DA1DE5" w:rsidRPr="00BF249F">
              <w:rPr>
                <w:rStyle w:val="Hyperlink"/>
                <w:noProof/>
                <w:lang w:val="en-GB"/>
              </w:rPr>
              <w:t>RATIONALE BEHIND APPROACH</w:t>
            </w:r>
            <w:r w:rsidR="00DA1DE5">
              <w:rPr>
                <w:noProof/>
                <w:webHidden/>
              </w:rPr>
              <w:tab/>
            </w:r>
            <w:r>
              <w:rPr>
                <w:noProof/>
                <w:webHidden/>
              </w:rPr>
              <w:fldChar w:fldCharType="begin"/>
            </w:r>
            <w:r w:rsidR="00DA1DE5">
              <w:rPr>
                <w:noProof/>
                <w:webHidden/>
              </w:rPr>
              <w:instrText xml:space="preserve"> PAGEREF _Toc460239121 \h </w:instrText>
            </w:r>
            <w:r>
              <w:rPr>
                <w:noProof/>
                <w:webHidden/>
              </w:rPr>
            </w:r>
            <w:r>
              <w:rPr>
                <w:noProof/>
                <w:webHidden/>
              </w:rPr>
              <w:fldChar w:fldCharType="separate"/>
            </w:r>
            <w:r w:rsidR="004E469A">
              <w:rPr>
                <w:noProof/>
                <w:webHidden/>
              </w:rPr>
              <w:t>13</w:t>
            </w:r>
            <w:r>
              <w:rPr>
                <w:noProof/>
                <w:webHidden/>
              </w:rPr>
              <w:fldChar w:fldCharType="end"/>
            </w:r>
          </w:hyperlink>
        </w:p>
        <w:p w:rsidR="00DA1DE5" w:rsidRDefault="00E66DA8">
          <w:pPr>
            <w:pStyle w:val="TOC3"/>
            <w:tabs>
              <w:tab w:val="left" w:pos="1100"/>
              <w:tab w:val="right" w:leader="dot" w:pos="9016"/>
            </w:tabs>
            <w:rPr>
              <w:noProof/>
              <w:lang w:val="en-GB" w:eastAsia="en-GB"/>
            </w:rPr>
          </w:pPr>
          <w:hyperlink w:anchor="_Toc460239122" w:history="1">
            <w:r w:rsidR="00DA1DE5" w:rsidRPr="00BF249F">
              <w:rPr>
                <w:rStyle w:val="Hyperlink"/>
                <w:rFonts w:cs="Times New Roman"/>
                <w:noProof/>
                <w:lang w:val="en-GB"/>
              </w:rPr>
              <w:t>6.2</w:t>
            </w:r>
            <w:r w:rsidR="00DA1DE5">
              <w:rPr>
                <w:noProof/>
                <w:lang w:val="en-GB" w:eastAsia="en-GB"/>
              </w:rPr>
              <w:tab/>
            </w:r>
            <w:r w:rsidR="00DA1DE5" w:rsidRPr="00BF249F">
              <w:rPr>
                <w:rStyle w:val="Hyperlink"/>
                <w:noProof/>
                <w:lang w:val="en-GB"/>
              </w:rPr>
              <w:t>ANALYSIS</w:t>
            </w:r>
            <w:r w:rsidR="00DA1DE5">
              <w:rPr>
                <w:noProof/>
                <w:webHidden/>
              </w:rPr>
              <w:tab/>
            </w:r>
            <w:r>
              <w:rPr>
                <w:noProof/>
                <w:webHidden/>
              </w:rPr>
              <w:fldChar w:fldCharType="begin"/>
            </w:r>
            <w:r w:rsidR="00DA1DE5">
              <w:rPr>
                <w:noProof/>
                <w:webHidden/>
              </w:rPr>
              <w:instrText xml:space="preserve"> PAGEREF _Toc460239122 \h </w:instrText>
            </w:r>
            <w:r>
              <w:rPr>
                <w:noProof/>
                <w:webHidden/>
              </w:rPr>
            </w:r>
            <w:r>
              <w:rPr>
                <w:noProof/>
                <w:webHidden/>
              </w:rPr>
              <w:fldChar w:fldCharType="separate"/>
            </w:r>
            <w:r w:rsidR="004E469A">
              <w:rPr>
                <w:noProof/>
                <w:webHidden/>
              </w:rPr>
              <w:t>13</w:t>
            </w:r>
            <w:r>
              <w:rPr>
                <w:noProof/>
                <w:webHidden/>
              </w:rPr>
              <w:fldChar w:fldCharType="end"/>
            </w:r>
          </w:hyperlink>
        </w:p>
        <w:p w:rsidR="00DA1DE5" w:rsidRDefault="00E66DA8">
          <w:pPr>
            <w:pStyle w:val="TOC3"/>
            <w:tabs>
              <w:tab w:val="left" w:pos="1100"/>
              <w:tab w:val="right" w:leader="dot" w:pos="9016"/>
            </w:tabs>
            <w:rPr>
              <w:noProof/>
              <w:lang w:val="en-GB" w:eastAsia="en-GB"/>
            </w:rPr>
          </w:pPr>
          <w:hyperlink w:anchor="_Toc460239123" w:history="1">
            <w:r w:rsidR="00DA1DE5" w:rsidRPr="00BF249F">
              <w:rPr>
                <w:rStyle w:val="Hyperlink"/>
                <w:rFonts w:cs="Times New Roman"/>
                <w:noProof/>
                <w:lang w:val="en-GB"/>
              </w:rPr>
              <w:t>6.3</w:t>
            </w:r>
            <w:r w:rsidR="00DA1DE5">
              <w:rPr>
                <w:noProof/>
                <w:lang w:val="en-GB" w:eastAsia="en-GB"/>
              </w:rPr>
              <w:tab/>
            </w:r>
            <w:r w:rsidR="00DA1DE5" w:rsidRPr="00BF249F">
              <w:rPr>
                <w:rStyle w:val="Hyperlink"/>
                <w:noProof/>
                <w:lang w:val="en-GB"/>
              </w:rPr>
              <w:t>DETAILS OF APPROACH</w:t>
            </w:r>
            <w:r w:rsidR="00DA1DE5">
              <w:rPr>
                <w:noProof/>
                <w:webHidden/>
              </w:rPr>
              <w:tab/>
            </w:r>
            <w:r>
              <w:rPr>
                <w:noProof/>
                <w:webHidden/>
              </w:rPr>
              <w:fldChar w:fldCharType="begin"/>
            </w:r>
            <w:r w:rsidR="00DA1DE5">
              <w:rPr>
                <w:noProof/>
                <w:webHidden/>
              </w:rPr>
              <w:instrText xml:space="preserve"> PAGEREF _Toc460239123 \h </w:instrText>
            </w:r>
            <w:r>
              <w:rPr>
                <w:noProof/>
                <w:webHidden/>
              </w:rPr>
            </w:r>
            <w:r>
              <w:rPr>
                <w:noProof/>
                <w:webHidden/>
              </w:rPr>
              <w:fldChar w:fldCharType="separate"/>
            </w:r>
            <w:r w:rsidR="004E469A">
              <w:rPr>
                <w:noProof/>
                <w:webHidden/>
              </w:rPr>
              <w:t>13</w:t>
            </w:r>
            <w:r>
              <w:rPr>
                <w:noProof/>
                <w:webHidden/>
              </w:rPr>
              <w:fldChar w:fldCharType="end"/>
            </w:r>
          </w:hyperlink>
        </w:p>
        <w:p w:rsidR="00DA1DE5" w:rsidRDefault="00E66DA8">
          <w:pPr>
            <w:pStyle w:val="TOC1"/>
            <w:tabs>
              <w:tab w:val="left" w:pos="440"/>
              <w:tab w:val="right" w:leader="dot" w:pos="9016"/>
            </w:tabs>
            <w:rPr>
              <w:noProof/>
              <w:sz w:val="22"/>
              <w:szCs w:val="22"/>
              <w:lang w:val="en-GB" w:eastAsia="en-GB"/>
            </w:rPr>
          </w:pPr>
          <w:hyperlink w:anchor="_Toc460239124" w:history="1">
            <w:r w:rsidR="00DA1DE5" w:rsidRPr="00BF249F">
              <w:rPr>
                <w:rStyle w:val="Hyperlink"/>
                <w:rFonts w:cs="Times New Roman"/>
                <w:noProof/>
                <w:lang w:val="en-GB"/>
              </w:rPr>
              <w:t>7</w:t>
            </w:r>
            <w:r w:rsidR="00DA1DE5">
              <w:rPr>
                <w:noProof/>
                <w:sz w:val="22"/>
                <w:szCs w:val="22"/>
                <w:lang w:val="en-GB" w:eastAsia="en-GB"/>
              </w:rPr>
              <w:tab/>
            </w:r>
            <w:r w:rsidR="00DA1DE5" w:rsidRPr="00BF249F">
              <w:rPr>
                <w:rStyle w:val="Hyperlink"/>
                <w:noProof/>
                <w:lang w:val="en-GB"/>
              </w:rPr>
              <w:t>CONCLUSIONS, NEXT STEPS</w:t>
            </w:r>
            <w:r w:rsidR="00DA1DE5">
              <w:rPr>
                <w:noProof/>
                <w:webHidden/>
              </w:rPr>
              <w:tab/>
            </w:r>
            <w:r>
              <w:rPr>
                <w:noProof/>
                <w:webHidden/>
              </w:rPr>
              <w:fldChar w:fldCharType="begin"/>
            </w:r>
            <w:r w:rsidR="00DA1DE5">
              <w:rPr>
                <w:noProof/>
                <w:webHidden/>
              </w:rPr>
              <w:instrText xml:space="preserve"> PAGEREF _Toc460239124 \h </w:instrText>
            </w:r>
            <w:r>
              <w:rPr>
                <w:noProof/>
                <w:webHidden/>
              </w:rPr>
            </w:r>
            <w:r>
              <w:rPr>
                <w:noProof/>
                <w:webHidden/>
              </w:rPr>
              <w:fldChar w:fldCharType="separate"/>
            </w:r>
            <w:r w:rsidR="004E469A">
              <w:rPr>
                <w:noProof/>
                <w:webHidden/>
              </w:rPr>
              <w:t>14</w:t>
            </w:r>
            <w:r>
              <w:rPr>
                <w:noProof/>
                <w:webHidden/>
              </w:rPr>
              <w:fldChar w:fldCharType="end"/>
            </w:r>
          </w:hyperlink>
        </w:p>
        <w:p w:rsidR="00DA1DE5" w:rsidRDefault="00E66DA8">
          <w:pPr>
            <w:pStyle w:val="TOC3"/>
            <w:tabs>
              <w:tab w:val="left" w:pos="1100"/>
              <w:tab w:val="right" w:leader="dot" w:pos="9016"/>
            </w:tabs>
            <w:rPr>
              <w:noProof/>
              <w:lang w:val="en-GB" w:eastAsia="en-GB"/>
            </w:rPr>
          </w:pPr>
          <w:hyperlink w:anchor="_Toc460239126" w:history="1">
            <w:r w:rsidR="00DA1DE5" w:rsidRPr="00BF249F">
              <w:rPr>
                <w:rStyle w:val="Hyperlink"/>
                <w:rFonts w:cs="Times New Roman"/>
                <w:noProof/>
                <w:lang w:val="en-GB"/>
              </w:rPr>
              <w:t>7.1</w:t>
            </w:r>
            <w:r w:rsidR="00DA1DE5">
              <w:rPr>
                <w:noProof/>
                <w:lang w:val="en-GB" w:eastAsia="en-GB"/>
              </w:rPr>
              <w:tab/>
            </w:r>
            <w:r w:rsidR="00DA1DE5" w:rsidRPr="00BF249F">
              <w:rPr>
                <w:rStyle w:val="Hyperlink"/>
                <w:noProof/>
                <w:lang w:val="en-GB"/>
              </w:rPr>
              <w:t>CONCLUSIONS</w:t>
            </w:r>
            <w:r w:rsidR="00DA1DE5">
              <w:rPr>
                <w:noProof/>
                <w:webHidden/>
              </w:rPr>
              <w:tab/>
            </w:r>
            <w:r>
              <w:rPr>
                <w:noProof/>
                <w:webHidden/>
              </w:rPr>
              <w:fldChar w:fldCharType="begin"/>
            </w:r>
            <w:r w:rsidR="00DA1DE5">
              <w:rPr>
                <w:noProof/>
                <w:webHidden/>
              </w:rPr>
              <w:instrText xml:space="preserve"> PAGEREF _Toc460239126 \h </w:instrText>
            </w:r>
            <w:r>
              <w:rPr>
                <w:noProof/>
                <w:webHidden/>
              </w:rPr>
            </w:r>
            <w:r>
              <w:rPr>
                <w:noProof/>
                <w:webHidden/>
              </w:rPr>
              <w:fldChar w:fldCharType="separate"/>
            </w:r>
            <w:r w:rsidR="004E469A">
              <w:rPr>
                <w:noProof/>
                <w:webHidden/>
              </w:rPr>
              <w:t>14</w:t>
            </w:r>
            <w:r>
              <w:rPr>
                <w:noProof/>
                <w:webHidden/>
              </w:rPr>
              <w:fldChar w:fldCharType="end"/>
            </w:r>
          </w:hyperlink>
        </w:p>
        <w:p w:rsidR="00DA1DE5" w:rsidRDefault="00E66DA8">
          <w:pPr>
            <w:pStyle w:val="TOC3"/>
            <w:tabs>
              <w:tab w:val="left" w:pos="1100"/>
              <w:tab w:val="right" w:leader="dot" w:pos="9016"/>
            </w:tabs>
            <w:rPr>
              <w:noProof/>
              <w:lang w:val="en-GB" w:eastAsia="en-GB"/>
            </w:rPr>
          </w:pPr>
          <w:hyperlink w:anchor="_Toc460239127" w:history="1">
            <w:r w:rsidR="00DA1DE5" w:rsidRPr="00BF249F">
              <w:rPr>
                <w:rStyle w:val="Hyperlink"/>
                <w:rFonts w:cs="Times New Roman"/>
                <w:noProof/>
                <w:lang w:val="en-GB"/>
              </w:rPr>
              <w:t>1.1</w:t>
            </w:r>
            <w:r w:rsidR="00DA1DE5">
              <w:rPr>
                <w:noProof/>
                <w:lang w:val="en-GB" w:eastAsia="en-GB"/>
              </w:rPr>
              <w:tab/>
            </w:r>
            <w:r w:rsidR="00DA1DE5" w:rsidRPr="00BF249F">
              <w:rPr>
                <w:rStyle w:val="Hyperlink"/>
                <w:noProof/>
                <w:lang w:val="en-GB"/>
              </w:rPr>
              <w:t>NEXT STEPS</w:t>
            </w:r>
            <w:r w:rsidR="00DA1DE5">
              <w:rPr>
                <w:noProof/>
                <w:webHidden/>
              </w:rPr>
              <w:tab/>
            </w:r>
            <w:r>
              <w:rPr>
                <w:noProof/>
                <w:webHidden/>
              </w:rPr>
              <w:fldChar w:fldCharType="begin"/>
            </w:r>
            <w:r w:rsidR="00DA1DE5">
              <w:rPr>
                <w:noProof/>
                <w:webHidden/>
              </w:rPr>
              <w:instrText xml:space="preserve"> PAGEREF _Toc460239127 \h </w:instrText>
            </w:r>
            <w:r>
              <w:rPr>
                <w:noProof/>
                <w:webHidden/>
              </w:rPr>
            </w:r>
            <w:r>
              <w:rPr>
                <w:noProof/>
                <w:webHidden/>
              </w:rPr>
              <w:fldChar w:fldCharType="separate"/>
            </w:r>
            <w:r w:rsidR="004E469A">
              <w:rPr>
                <w:noProof/>
                <w:webHidden/>
              </w:rPr>
              <w:t>14</w:t>
            </w:r>
            <w:r>
              <w:rPr>
                <w:noProof/>
                <w:webHidden/>
              </w:rPr>
              <w:fldChar w:fldCharType="end"/>
            </w:r>
          </w:hyperlink>
        </w:p>
        <w:p w:rsidR="00DA1DE5" w:rsidRDefault="00E66DA8">
          <w:pPr>
            <w:pStyle w:val="TOC1"/>
            <w:tabs>
              <w:tab w:val="right" w:leader="dot" w:pos="9016"/>
            </w:tabs>
            <w:rPr>
              <w:noProof/>
              <w:sz w:val="22"/>
              <w:szCs w:val="22"/>
              <w:lang w:val="en-GB" w:eastAsia="en-GB"/>
            </w:rPr>
          </w:pPr>
          <w:hyperlink w:anchor="_Toc460239128" w:history="1">
            <w:r w:rsidR="00DA1DE5">
              <w:rPr>
                <w:rStyle w:val="Hyperlink"/>
                <w:noProof/>
                <w:lang w:val="en-GB"/>
              </w:rPr>
              <w:t>ANNEX 1</w:t>
            </w:r>
            <w:r w:rsidR="00DA1DE5" w:rsidRPr="00BF249F">
              <w:rPr>
                <w:rStyle w:val="Hyperlink"/>
                <w:noProof/>
                <w:lang w:val="en-GB"/>
              </w:rPr>
              <w:t>: I-SEM REGULATORY FRAMEWORK</w:t>
            </w:r>
            <w:r w:rsidR="00DA1DE5">
              <w:rPr>
                <w:noProof/>
                <w:webHidden/>
              </w:rPr>
              <w:tab/>
            </w:r>
            <w:r>
              <w:rPr>
                <w:noProof/>
                <w:webHidden/>
              </w:rPr>
              <w:fldChar w:fldCharType="begin"/>
            </w:r>
            <w:r w:rsidR="00DA1DE5">
              <w:rPr>
                <w:noProof/>
                <w:webHidden/>
              </w:rPr>
              <w:instrText xml:space="preserve"> PAGEREF _Toc460239128 \h </w:instrText>
            </w:r>
            <w:r>
              <w:rPr>
                <w:noProof/>
                <w:webHidden/>
              </w:rPr>
            </w:r>
            <w:r>
              <w:rPr>
                <w:noProof/>
                <w:webHidden/>
              </w:rPr>
              <w:fldChar w:fldCharType="separate"/>
            </w:r>
            <w:r w:rsidR="004E469A">
              <w:rPr>
                <w:noProof/>
                <w:webHidden/>
              </w:rPr>
              <w:t>15</w:t>
            </w:r>
            <w:r>
              <w:rPr>
                <w:noProof/>
                <w:webHidden/>
              </w:rPr>
              <w:fldChar w:fldCharType="end"/>
            </w:r>
          </w:hyperlink>
        </w:p>
        <w:p w:rsidR="00DA1DE5" w:rsidRDefault="00E66DA8">
          <w:pPr>
            <w:pStyle w:val="TOC1"/>
            <w:tabs>
              <w:tab w:val="right" w:leader="dot" w:pos="9016"/>
            </w:tabs>
            <w:rPr>
              <w:noProof/>
              <w:sz w:val="22"/>
              <w:szCs w:val="22"/>
              <w:lang w:val="en-GB" w:eastAsia="en-GB"/>
            </w:rPr>
          </w:pPr>
          <w:hyperlink w:anchor="_Toc460239129" w:history="1">
            <w:r w:rsidR="00DA1DE5">
              <w:rPr>
                <w:rStyle w:val="Hyperlink"/>
                <w:noProof/>
                <w:lang w:val="en-GB"/>
              </w:rPr>
              <w:t>ANNEX</w:t>
            </w:r>
            <w:r w:rsidR="00DA1DE5" w:rsidRPr="00BF249F">
              <w:rPr>
                <w:rStyle w:val="Hyperlink"/>
                <w:noProof/>
                <w:lang w:val="en-GB"/>
              </w:rPr>
              <w:t xml:space="preserve"> 2: NEMO DESIGNATION CRITERIA AS OUTLINED IN ARTICLE 6 OF CACM</w:t>
            </w:r>
            <w:r w:rsidR="00DA1DE5">
              <w:rPr>
                <w:noProof/>
                <w:webHidden/>
              </w:rPr>
              <w:tab/>
            </w:r>
            <w:r>
              <w:rPr>
                <w:noProof/>
                <w:webHidden/>
              </w:rPr>
              <w:fldChar w:fldCharType="begin"/>
            </w:r>
            <w:r w:rsidR="00DA1DE5">
              <w:rPr>
                <w:noProof/>
                <w:webHidden/>
              </w:rPr>
              <w:instrText xml:space="preserve"> PAGEREF _Toc460239129 \h </w:instrText>
            </w:r>
            <w:r>
              <w:rPr>
                <w:noProof/>
                <w:webHidden/>
              </w:rPr>
            </w:r>
            <w:r>
              <w:rPr>
                <w:noProof/>
                <w:webHidden/>
              </w:rPr>
              <w:fldChar w:fldCharType="separate"/>
            </w:r>
            <w:r w:rsidR="004E469A">
              <w:rPr>
                <w:noProof/>
                <w:webHidden/>
              </w:rPr>
              <w:t>16</w:t>
            </w:r>
            <w:r>
              <w:rPr>
                <w:noProof/>
                <w:webHidden/>
              </w:rPr>
              <w:fldChar w:fldCharType="end"/>
            </w:r>
          </w:hyperlink>
        </w:p>
        <w:p w:rsidR="001C6694" w:rsidRDefault="00E66DA8" w:rsidP="001C6694">
          <w:pPr>
            <w:spacing w:line="300" w:lineRule="auto"/>
            <w:rPr>
              <w:rFonts w:eastAsia="Times New Roman" w:cs="Times New Roman"/>
              <w:sz w:val="24"/>
              <w:szCs w:val="24"/>
              <w:lang w:val="en-GB" w:eastAsia="en-US"/>
            </w:rPr>
          </w:pPr>
          <w:r>
            <w:fldChar w:fldCharType="end"/>
          </w:r>
        </w:p>
      </w:sdtContent>
    </w:sdt>
    <w:p w:rsidR="00900726" w:rsidRDefault="00900726">
      <w:pPr>
        <w:rPr>
          <w:rFonts w:cstheme="minorHAnsi"/>
          <w:b/>
          <w:bCs/>
          <w:lang w:val="en-GB"/>
        </w:rPr>
      </w:pPr>
    </w:p>
    <w:p w:rsidR="00900726" w:rsidRPr="00A63951" w:rsidRDefault="00900726" w:rsidP="00900726">
      <w:pPr>
        <w:pStyle w:val="Heading1"/>
        <w:keepNext w:val="0"/>
        <w:numPr>
          <w:ilvl w:val="0"/>
          <w:numId w:val="1"/>
        </w:numPr>
        <w:pBdr>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pBdr>
        <w:shd w:val="clear" w:color="auto" w:fill="31849B" w:themeFill="accent5" w:themeFillShade="BF"/>
        <w:spacing w:before="0" w:line="300" w:lineRule="auto"/>
        <w:ind w:left="426" w:hanging="426"/>
        <w:jc w:val="both"/>
        <w:rPr>
          <w:rFonts w:cs="Times New Roman"/>
          <w:caps w:val="0"/>
          <w:color w:val="FFFFFF"/>
          <w:kern w:val="32"/>
          <w:sz w:val="24"/>
          <w:szCs w:val="24"/>
          <w:lang w:val="en-GB"/>
        </w:rPr>
      </w:pPr>
      <w:bookmarkStart w:id="2" w:name="_Toc460239096"/>
      <w:r>
        <w:rPr>
          <w:rFonts w:cs="Times New Roman"/>
          <w:caps w:val="0"/>
          <w:color w:val="FFFFFF"/>
          <w:sz w:val="24"/>
          <w:szCs w:val="24"/>
          <w:lang w:val="en-GB"/>
        </w:rPr>
        <w:t>EXECUTIVE SUMMARY</w:t>
      </w:r>
      <w:bookmarkEnd w:id="2"/>
    </w:p>
    <w:p w:rsidR="003B2D34" w:rsidRDefault="003B2D34" w:rsidP="00242E4D">
      <w:pPr>
        <w:pStyle w:val="NoSpacing"/>
        <w:rPr>
          <w:rFonts w:asciiTheme="minorHAnsi" w:eastAsiaTheme="minorEastAsia" w:hAnsiTheme="minorHAnsi"/>
          <w:sz w:val="22"/>
          <w:lang w:eastAsia="en-IE"/>
        </w:rPr>
      </w:pPr>
    </w:p>
    <w:p w:rsidR="00900726" w:rsidRPr="000B1F6F" w:rsidRDefault="00900726" w:rsidP="00242E4D">
      <w:pPr>
        <w:pStyle w:val="NoSpacing"/>
        <w:rPr>
          <w:rFonts w:asciiTheme="minorHAnsi" w:eastAsiaTheme="minorEastAsia" w:hAnsiTheme="minorHAnsi"/>
          <w:sz w:val="22"/>
          <w:lang w:eastAsia="en-IE"/>
        </w:rPr>
      </w:pPr>
      <w:r w:rsidRPr="000B1F6F">
        <w:rPr>
          <w:rFonts w:asciiTheme="minorHAnsi" w:eastAsiaTheme="minorEastAsia" w:hAnsiTheme="minorHAnsi"/>
          <w:sz w:val="22"/>
          <w:lang w:eastAsia="en-IE"/>
        </w:rPr>
        <w:t xml:space="preserve">The Capacity Allocation and Congestion Management Regulation (CACM or the Regulation) came into force on 14 August 2015 requiring a designation of a Nominated Electricity Market Operator for performance of day ahead and intraday market coupling for I-SEM by 14 December 2015. </w:t>
      </w:r>
    </w:p>
    <w:p w:rsidR="00900726" w:rsidRPr="000B1F6F" w:rsidRDefault="00900726" w:rsidP="00242E4D">
      <w:pPr>
        <w:pStyle w:val="NoSpacing"/>
        <w:rPr>
          <w:rFonts w:asciiTheme="minorHAnsi" w:eastAsiaTheme="minorEastAsia" w:hAnsiTheme="minorHAnsi"/>
          <w:sz w:val="22"/>
          <w:lang w:eastAsia="en-IE"/>
        </w:rPr>
      </w:pPr>
    </w:p>
    <w:p w:rsidR="00900726" w:rsidRDefault="00900726" w:rsidP="00242E4D">
      <w:pPr>
        <w:jc w:val="both"/>
        <w:rPr>
          <w:lang w:val="en-GB"/>
        </w:rPr>
      </w:pPr>
      <w:r w:rsidRPr="000B1F6F">
        <w:rPr>
          <w:lang w:val="en-GB"/>
        </w:rPr>
        <w:t xml:space="preserve">On 2 October 2015 the </w:t>
      </w:r>
      <w:r w:rsidR="00A54E4A" w:rsidRPr="000B1F6F">
        <w:rPr>
          <w:lang w:val="en-GB"/>
        </w:rPr>
        <w:t>C</w:t>
      </w:r>
      <w:r w:rsidR="00A54E4A">
        <w:rPr>
          <w:lang w:val="en-GB"/>
        </w:rPr>
        <w:t>ommission for Energy Regulation</w:t>
      </w:r>
      <w:r w:rsidR="00583E91">
        <w:rPr>
          <w:lang w:val="en-GB"/>
        </w:rPr>
        <w:t xml:space="preserve"> (CER)</w:t>
      </w:r>
      <w:r w:rsidRPr="000B1F6F">
        <w:rPr>
          <w:lang w:val="en-GB"/>
        </w:rPr>
        <w:t xml:space="preserve"> designated EirGrid as the Designated NEMO for Ireland under Article 4 of CACM and the U</w:t>
      </w:r>
      <w:r w:rsidR="00A54E4A">
        <w:rPr>
          <w:lang w:val="en-GB"/>
        </w:rPr>
        <w:t xml:space="preserve">tility </w:t>
      </w:r>
      <w:r w:rsidRPr="000B1F6F">
        <w:rPr>
          <w:lang w:val="en-GB"/>
        </w:rPr>
        <w:t>R</w:t>
      </w:r>
      <w:r w:rsidR="00A54E4A">
        <w:rPr>
          <w:lang w:val="en-GB"/>
        </w:rPr>
        <w:t>egulator</w:t>
      </w:r>
      <w:r w:rsidRPr="000B1F6F">
        <w:rPr>
          <w:lang w:val="en-GB"/>
        </w:rPr>
        <w:t xml:space="preserve"> </w:t>
      </w:r>
      <w:r w:rsidR="00583E91">
        <w:rPr>
          <w:lang w:val="en-GB"/>
        </w:rPr>
        <w:t xml:space="preserve">(UR) </w:t>
      </w:r>
      <w:r w:rsidRPr="000B1F6F">
        <w:rPr>
          <w:lang w:val="en-GB"/>
        </w:rPr>
        <w:t>designated SONI as the Designated NEMO for Northern Ireland.</w:t>
      </w:r>
    </w:p>
    <w:p w:rsidR="003B2D34" w:rsidRPr="00DB7093" w:rsidRDefault="0087691D" w:rsidP="003B2D34">
      <w:pPr>
        <w:spacing w:line="300" w:lineRule="auto"/>
        <w:jc w:val="both"/>
        <w:rPr>
          <w:rFonts w:cstheme="minorHAnsi"/>
          <w:bCs/>
          <w:lang w:val="en-GB"/>
        </w:rPr>
      </w:pPr>
      <w:r>
        <w:rPr>
          <w:lang w:val="en-GB"/>
        </w:rPr>
        <w:t>The purpose of this paper is to</w:t>
      </w:r>
      <w:r w:rsidR="00A02676">
        <w:rPr>
          <w:lang w:val="en-GB"/>
        </w:rPr>
        <w:t xml:space="preserve"> outline the</w:t>
      </w:r>
      <w:r w:rsidR="00583E91">
        <w:rPr>
          <w:lang w:val="en-GB"/>
        </w:rPr>
        <w:t xml:space="preserve"> </w:t>
      </w:r>
      <w:r w:rsidR="00A02676">
        <w:rPr>
          <w:lang w:val="en-GB"/>
        </w:rPr>
        <w:t>framework for NEMO regulation in Ireland and Northern Ireland with respect to</w:t>
      </w:r>
      <w:r w:rsidR="00A249FA">
        <w:rPr>
          <w:lang w:val="en-GB"/>
        </w:rPr>
        <w:t xml:space="preserve"> the designated NEMO</w:t>
      </w:r>
      <w:r w:rsidR="00A02676">
        <w:rPr>
          <w:lang w:val="en-GB"/>
        </w:rPr>
        <w:t xml:space="preserve"> EirGrid </w:t>
      </w:r>
      <w:r w:rsidR="00A249FA">
        <w:rPr>
          <w:lang w:val="en-GB"/>
        </w:rPr>
        <w:t xml:space="preserve">in Ireland </w:t>
      </w:r>
      <w:r w:rsidR="00A02676">
        <w:rPr>
          <w:lang w:val="en-GB"/>
        </w:rPr>
        <w:t>and SONI</w:t>
      </w:r>
      <w:r w:rsidR="00A249FA">
        <w:rPr>
          <w:lang w:val="en-GB"/>
        </w:rPr>
        <w:t xml:space="preserve"> in Northern Ireland</w:t>
      </w:r>
      <w:r w:rsidR="00A02676">
        <w:rPr>
          <w:lang w:val="en-GB"/>
        </w:rPr>
        <w:t xml:space="preserve"> </w:t>
      </w:r>
      <w:r w:rsidR="00583E91">
        <w:rPr>
          <w:lang w:val="en-GB"/>
        </w:rPr>
        <w:t>and for</w:t>
      </w:r>
      <w:r w:rsidR="00A02676">
        <w:rPr>
          <w:lang w:val="en-GB"/>
        </w:rPr>
        <w:t xml:space="preserve"> </w:t>
      </w:r>
      <w:r>
        <w:rPr>
          <w:lang w:val="en-GB"/>
        </w:rPr>
        <w:t xml:space="preserve">any </w:t>
      </w:r>
      <w:r w:rsidR="00A249FA">
        <w:rPr>
          <w:lang w:val="en-GB"/>
        </w:rPr>
        <w:t xml:space="preserve">additional NEMO which might seek to operate in SEM.  </w:t>
      </w:r>
      <w:r w:rsidR="005440FD">
        <w:rPr>
          <w:lang w:val="en-GB"/>
        </w:rPr>
        <w:t xml:space="preserve">  </w:t>
      </w:r>
      <w:r w:rsidR="0082050B">
        <w:rPr>
          <w:lang w:val="en-GB"/>
        </w:rPr>
        <w:t xml:space="preserve">In </w:t>
      </w:r>
      <w:r w:rsidR="00F73AF4">
        <w:rPr>
          <w:lang w:val="en-GB"/>
        </w:rPr>
        <w:t>outlining the framework for NEMO regulation the Regulatory Authorities (RAs)</w:t>
      </w:r>
      <w:r w:rsidR="00F73AF4">
        <w:rPr>
          <w:rStyle w:val="FootnoteReference"/>
          <w:lang w:val="en-GB"/>
        </w:rPr>
        <w:footnoteReference w:id="1"/>
      </w:r>
      <w:r w:rsidR="00F73AF4">
        <w:rPr>
          <w:lang w:val="en-GB"/>
        </w:rPr>
        <w:t xml:space="preserve"> </w:t>
      </w:r>
      <w:r w:rsidR="00F23C75">
        <w:rPr>
          <w:lang w:val="en-GB"/>
        </w:rPr>
        <w:t>consider the most appropriate form of regulation to contain the following elements:</w:t>
      </w:r>
      <w:bookmarkStart w:id="3" w:name="_Toc456286153"/>
      <w:bookmarkEnd w:id="3"/>
    </w:p>
    <w:p w:rsidR="00F9139F" w:rsidRPr="00DB7093" w:rsidRDefault="003B2D34" w:rsidP="003B2D34">
      <w:pPr>
        <w:pStyle w:val="ListParagraph"/>
        <w:numPr>
          <w:ilvl w:val="0"/>
          <w:numId w:val="18"/>
        </w:numPr>
        <w:spacing w:line="300" w:lineRule="auto"/>
        <w:jc w:val="both"/>
        <w:rPr>
          <w:rFonts w:cstheme="minorHAnsi"/>
          <w:bCs/>
          <w:lang w:val="en-GB"/>
        </w:rPr>
      </w:pPr>
      <w:r w:rsidRPr="00DB7093">
        <w:rPr>
          <w:rFonts w:cstheme="minorHAnsi"/>
          <w:bCs/>
          <w:lang w:val="en-GB"/>
        </w:rPr>
        <w:t>T</w:t>
      </w:r>
      <w:r w:rsidR="0087691D" w:rsidRPr="00DB7093">
        <w:rPr>
          <w:rFonts w:cstheme="minorHAnsi"/>
          <w:bCs/>
          <w:lang w:val="en-GB"/>
        </w:rPr>
        <w:t xml:space="preserve">he definition of market operator contained within the EirGrid and SONI licences </w:t>
      </w:r>
      <w:r w:rsidR="007F330A">
        <w:rPr>
          <w:rFonts w:cstheme="minorHAnsi"/>
          <w:bCs/>
          <w:lang w:val="en-GB"/>
        </w:rPr>
        <w:t xml:space="preserve">will  </w:t>
      </w:r>
      <w:r w:rsidR="009C1C23">
        <w:rPr>
          <w:rFonts w:cstheme="minorHAnsi"/>
          <w:bCs/>
          <w:lang w:val="en-GB"/>
        </w:rPr>
        <w:t xml:space="preserve">include </w:t>
      </w:r>
      <w:r w:rsidRPr="00DB7093">
        <w:rPr>
          <w:rFonts w:cstheme="minorHAnsi"/>
          <w:bCs/>
          <w:lang w:val="en-GB"/>
        </w:rPr>
        <w:t>NEMO functions;</w:t>
      </w:r>
    </w:p>
    <w:p w:rsidR="00F9139F" w:rsidRPr="00DB7093" w:rsidRDefault="003B2D34" w:rsidP="003B2D34">
      <w:pPr>
        <w:pStyle w:val="ListParagraph"/>
        <w:numPr>
          <w:ilvl w:val="0"/>
          <w:numId w:val="18"/>
        </w:numPr>
        <w:spacing w:line="300" w:lineRule="auto"/>
        <w:jc w:val="both"/>
        <w:rPr>
          <w:rFonts w:cstheme="minorHAnsi"/>
          <w:bCs/>
          <w:lang w:val="en-GB"/>
        </w:rPr>
      </w:pPr>
      <w:r w:rsidRPr="00DB7093">
        <w:rPr>
          <w:rFonts w:cstheme="minorHAnsi"/>
          <w:bCs/>
          <w:lang w:val="en-GB"/>
        </w:rPr>
        <w:t>C</w:t>
      </w:r>
      <w:r w:rsidR="0087691D" w:rsidRPr="00DB7093">
        <w:rPr>
          <w:rFonts w:cstheme="minorHAnsi"/>
          <w:bCs/>
          <w:lang w:val="en-GB"/>
        </w:rPr>
        <w:t xml:space="preserve">hanges to the EirGrid and SONI Market Operator Agreement </w:t>
      </w:r>
      <w:r w:rsidR="001D36D6">
        <w:rPr>
          <w:rFonts w:cstheme="minorHAnsi"/>
          <w:bCs/>
          <w:lang w:val="en-GB"/>
        </w:rPr>
        <w:t>will be</w:t>
      </w:r>
      <w:r w:rsidR="007F330A">
        <w:rPr>
          <w:rFonts w:cstheme="minorHAnsi"/>
          <w:bCs/>
          <w:lang w:val="en-GB"/>
        </w:rPr>
        <w:t xml:space="preserve"> </w:t>
      </w:r>
      <w:r w:rsidR="0087691D" w:rsidRPr="00DB7093">
        <w:rPr>
          <w:rFonts w:cstheme="minorHAnsi"/>
          <w:bCs/>
          <w:lang w:val="en-GB"/>
        </w:rPr>
        <w:t xml:space="preserve">required. </w:t>
      </w:r>
      <w:r w:rsidR="0082050B" w:rsidRPr="00DB7093">
        <w:rPr>
          <w:rFonts w:cstheme="minorHAnsi"/>
          <w:bCs/>
          <w:lang w:val="en-GB"/>
        </w:rPr>
        <w:t xml:space="preserve"> </w:t>
      </w:r>
    </w:p>
    <w:p w:rsidR="00F9139F" w:rsidRDefault="00FC0CBC" w:rsidP="003B2D34">
      <w:pPr>
        <w:pStyle w:val="ListParagraph"/>
        <w:numPr>
          <w:ilvl w:val="0"/>
          <w:numId w:val="18"/>
        </w:numPr>
        <w:spacing w:line="300" w:lineRule="auto"/>
        <w:jc w:val="both"/>
        <w:rPr>
          <w:rFonts w:cstheme="minorHAnsi"/>
          <w:bCs/>
          <w:lang w:val="en-GB"/>
        </w:rPr>
      </w:pPr>
      <w:r>
        <w:rPr>
          <w:rFonts w:cstheme="minorHAnsi"/>
          <w:bCs/>
          <w:lang w:val="en-GB"/>
        </w:rPr>
        <w:t>R</w:t>
      </w:r>
      <w:r w:rsidR="0087691D" w:rsidRPr="00DB7093">
        <w:rPr>
          <w:rFonts w:cstheme="minorHAnsi"/>
          <w:bCs/>
          <w:lang w:val="en-GB"/>
        </w:rPr>
        <w:t xml:space="preserve">egulatory oversight in the form of </w:t>
      </w:r>
      <w:r w:rsidR="00950707">
        <w:rPr>
          <w:rFonts w:cstheme="minorHAnsi"/>
          <w:bCs/>
          <w:lang w:val="en-GB"/>
        </w:rPr>
        <w:t>price regulation</w:t>
      </w:r>
      <w:r w:rsidR="0087691D" w:rsidRPr="00DB7093">
        <w:rPr>
          <w:rFonts w:cstheme="minorHAnsi"/>
          <w:bCs/>
          <w:lang w:val="en-GB"/>
        </w:rPr>
        <w:t xml:space="preserve"> </w:t>
      </w:r>
      <w:r w:rsidR="002D758D">
        <w:rPr>
          <w:rFonts w:cstheme="minorHAnsi"/>
          <w:bCs/>
          <w:lang w:val="en-GB"/>
        </w:rPr>
        <w:t>will be</w:t>
      </w:r>
      <w:r>
        <w:rPr>
          <w:rFonts w:cstheme="minorHAnsi"/>
          <w:bCs/>
          <w:lang w:val="en-GB"/>
        </w:rPr>
        <w:t xml:space="preserve"> implemented</w:t>
      </w:r>
      <w:r w:rsidR="0087691D" w:rsidRPr="00DB7093">
        <w:rPr>
          <w:rFonts w:cstheme="minorHAnsi"/>
          <w:bCs/>
          <w:lang w:val="en-GB"/>
        </w:rPr>
        <w:t xml:space="preserve">.  </w:t>
      </w:r>
    </w:p>
    <w:p w:rsidR="00F664F8" w:rsidRDefault="00C53EDE" w:rsidP="00C53EDE">
      <w:pPr>
        <w:pStyle w:val="ListParagraph"/>
        <w:numPr>
          <w:ilvl w:val="0"/>
          <w:numId w:val="18"/>
        </w:numPr>
        <w:spacing w:line="300" w:lineRule="auto"/>
        <w:jc w:val="both"/>
        <w:rPr>
          <w:rFonts w:cstheme="minorHAnsi"/>
          <w:bCs/>
          <w:lang w:val="en-GB"/>
        </w:rPr>
      </w:pPr>
      <w:r>
        <w:rPr>
          <w:rFonts w:cstheme="minorHAnsi"/>
          <w:bCs/>
          <w:lang w:val="en-GB"/>
        </w:rPr>
        <w:t>T</w:t>
      </w:r>
      <w:r w:rsidRPr="00CC6D47">
        <w:rPr>
          <w:rFonts w:cstheme="minorHAnsi"/>
          <w:bCs/>
          <w:lang w:val="en-GB"/>
        </w:rPr>
        <w:t>he Trading and Settlement Code</w:t>
      </w:r>
      <w:r w:rsidR="00583E91">
        <w:rPr>
          <w:rFonts w:cstheme="minorHAnsi"/>
          <w:bCs/>
          <w:lang w:val="en-GB"/>
        </w:rPr>
        <w:t xml:space="preserve"> (TSC)</w:t>
      </w:r>
      <w:r w:rsidRPr="00CC6D47">
        <w:rPr>
          <w:rFonts w:cstheme="minorHAnsi"/>
          <w:bCs/>
          <w:lang w:val="en-GB"/>
        </w:rPr>
        <w:t xml:space="preserve"> </w:t>
      </w:r>
      <w:r w:rsidR="001D36D6">
        <w:rPr>
          <w:rFonts w:cstheme="minorHAnsi"/>
          <w:bCs/>
          <w:lang w:val="en-GB"/>
        </w:rPr>
        <w:t xml:space="preserve">will </w:t>
      </w:r>
      <w:r w:rsidRPr="00CC6D47">
        <w:rPr>
          <w:rFonts w:cstheme="minorHAnsi"/>
          <w:bCs/>
          <w:lang w:val="en-GB"/>
        </w:rPr>
        <w:t>oblige all parties to the TSC to procure single day ahead and intraday market coupling services through a NEMO designated under CACM</w:t>
      </w:r>
      <w:r w:rsidR="00F664F8">
        <w:rPr>
          <w:rFonts w:cstheme="minorHAnsi"/>
          <w:bCs/>
          <w:lang w:val="en-GB"/>
        </w:rPr>
        <w:t xml:space="preserve">. </w:t>
      </w:r>
    </w:p>
    <w:p w:rsidR="00DA1DE5" w:rsidRDefault="00C53EDE" w:rsidP="00C53EDE">
      <w:pPr>
        <w:pStyle w:val="ListParagraph"/>
        <w:numPr>
          <w:ilvl w:val="0"/>
          <w:numId w:val="18"/>
        </w:numPr>
        <w:spacing w:line="300" w:lineRule="auto"/>
        <w:jc w:val="both"/>
        <w:rPr>
          <w:rFonts w:cstheme="minorHAnsi"/>
          <w:bCs/>
          <w:lang w:val="en-GB"/>
        </w:rPr>
      </w:pPr>
      <w:r w:rsidRPr="00D91C28">
        <w:rPr>
          <w:rFonts w:cstheme="minorHAnsi"/>
          <w:bCs/>
          <w:lang w:val="en-GB"/>
        </w:rPr>
        <w:t xml:space="preserve">In addition, the Trading and Settlement Code would require all NEMOs operating in the market to be </w:t>
      </w:r>
      <w:r w:rsidR="00583E91">
        <w:rPr>
          <w:rFonts w:cstheme="minorHAnsi"/>
          <w:bCs/>
          <w:lang w:val="en-GB"/>
        </w:rPr>
        <w:t>party</w:t>
      </w:r>
      <w:r w:rsidR="00583E91" w:rsidRPr="00D91C28">
        <w:rPr>
          <w:rFonts w:cstheme="minorHAnsi"/>
          <w:bCs/>
          <w:lang w:val="en-GB"/>
        </w:rPr>
        <w:t xml:space="preserve"> </w:t>
      </w:r>
      <w:r w:rsidRPr="00D91C28">
        <w:rPr>
          <w:rFonts w:cstheme="minorHAnsi"/>
          <w:bCs/>
          <w:lang w:val="en-GB"/>
        </w:rPr>
        <w:t>to the Trading and Settlement</w:t>
      </w:r>
      <w:r w:rsidRPr="00D90EF3">
        <w:rPr>
          <w:rFonts w:cstheme="minorHAnsi"/>
          <w:bCs/>
          <w:lang w:val="en-GB"/>
        </w:rPr>
        <w:t xml:space="preserve"> Code. </w:t>
      </w:r>
      <w:r w:rsidR="00F664F8">
        <w:rPr>
          <w:rFonts w:cstheme="minorHAnsi"/>
          <w:bCs/>
          <w:lang w:val="en-GB"/>
        </w:rPr>
        <w:t xml:space="preserve"> The TSC will prescribe that only NEMOs party to the Code may submit ex-ante contract </w:t>
      </w:r>
      <w:r w:rsidR="008B10D8">
        <w:rPr>
          <w:rFonts w:cstheme="minorHAnsi"/>
          <w:bCs/>
          <w:lang w:val="en-GB"/>
        </w:rPr>
        <w:t>notifications</w:t>
      </w:r>
      <w:r w:rsidR="00F664F8">
        <w:rPr>
          <w:rFonts w:cstheme="minorHAnsi"/>
          <w:bCs/>
          <w:lang w:val="en-GB"/>
        </w:rPr>
        <w:t xml:space="preserve"> to the Balancing Market Operator.</w:t>
      </w:r>
    </w:p>
    <w:p w:rsidR="00DA1DE5" w:rsidRPr="000753A7" w:rsidRDefault="00C53EDE" w:rsidP="004E469A">
      <w:pPr>
        <w:pStyle w:val="ListParagraph"/>
        <w:numPr>
          <w:ilvl w:val="0"/>
          <w:numId w:val="18"/>
        </w:numPr>
        <w:spacing w:line="300" w:lineRule="auto"/>
        <w:jc w:val="both"/>
        <w:rPr>
          <w:rFonts w:cstheme="minorHAnsi"/>
          <w:bCs/>
          <w:lang w:val="en-GB"/>
        </w:rPr>
      </w:pPr>
      <w:r w:rsidRPr="00DA1DE5">
        <w:rPr>
          <w:rFonts w:cstheme="minorHAnsi"/>
          <w:bCs/>
          <w:lang w:val="en-GB"/>
        </w:rPr>
        <w:t>The RAs will continue to work with ACER NRAs</w:t>
      </w:r>
      <w:r w:rsidR="00FF7E2A" w:rsidRPr="00DA1DE5">
        <w:rPr>
          <w:rFonts w:cstheme="minorHAnsi"/>
          <w:bCs/>
          <w:lang w:val="en-GB"/>
        </w:rPr>
        <w:t xml:space="preserve"> who are the NEMO designating authorities across Europe,</w:t>
      </w:r>
      <w:r w:rsidRPr="00DA1DE5">
        <w:rPr>
          <w:rFonts w:cstheme="minorHAnsi"/>
          <w:bCs/>
          <w:lang w:val="en-GB"/>
        </w:rPr>
        <w:t xml:space="preserve"> to ensure CACM compliance by NEMOs</w:t>
      </w:r>
      <w:r w:rsidR="00A249FA" w:rsidRPr="00DA1DE5">
        <w:rPr>
          <w:rFonts w:cstheme="minorHAnsi"/>
          <w:bCs/>
          <w:lang w:val="en-GB"/>
        </w:rPr>
        <w:t xml:space="preserve"> operating in SEM</w:t>
      </w:r>
      <w:r w:rsidRPr="00DA1DE5">
        <w:rPr>
          <w:rFonts w:cstheme="minorHAnsi"/>
          <w:bCs/>
          <w:lang w:val="en-GB"/>
        </w:rPr>
        <w:t>.</w:t>
      </w:r>
      <w:r w:rsidR="00FF7E2A" w:rsidRPr="00DA1DE5">
        <w:rPr>
          <w:rFonts w:cstheme="minorHAnsi"/>
          <w:bCs/>
          <w:lang w:val="en-GB"/>
        </w:rPr>
        <w:t xml:space="preserve">  </w:t>
      </w:r>
    </w:p>
    <w:p w:rsidR="00DA1DE5" w:rsidRDefault="00DA1DE5">
      <w:pPr>
        <w:rPr>
          <w:rFonts w:cstheme="minorHAnsi"/>
          <w:bCs/>
          <w:lang w:val="en-GB"/>
        </w:rPr>
      </w:pPr>
      <w:r>
        <w:rPr>
          <w:rFonts w:cstheme="minorHAnsi"/>
          <w:bCs/>
          <w:lang w:val="en-GB"/>
        </w:rPr>
        <w:br w:type="page"/>
      </w:r>
    </w:p>
    <w:p w:rsidR="006240F3" w:rsidRPr="00DB7093" w:rsidRDefault="006240F3" w:rsidP="00DB7093">
      <w:pPr>
        <w:pStyle w:val="ListParagraph"/>
        <w:spacing w:line="300" w:lineRule="auto"/>
        <w:ind w:left="1080"/>
        <w:jc w:val="both"/>
        <w:rPr>
          <w:rFonts w:cstheme="minorHAnsi"/>
          <w:bCs/>
          <w:lang w:val="en-GB"/>
        </w:rPr>
      </w:pPr>
    </w:p>
    <w:p w:rsidR="001C6694" w:rsidRPr="00A63951" w:rsidRDefault="005A26D3" w:rsidP="001C6694">
      <w:pPr>
        <w:pStyle w:val="Heading1"/>
        <w:keepNext w:val="0"/>
        <w:numPr>
          <w:ilvl w:val="0"/>
          <w:numId w:val="1"/>
        </w:numPr>
        <w:pBdr>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pBdr>
        <w:shd w:val="clear" w:color="auto" w:fill="31849B" w:themeFill="accent5" w:themeFillShade="BF"/>
        <w:spacing w:before="0" w:line="300" w:lineRule="auto"/>
        <w:ind w:left="426" w:hanging="426"/>
        <w:jc w:val="both"/>
        <w:rPr>
          <w:rFonts w:cs="Times New Roman"/>
          <w:caps w:val="0"/>
          <w:color w:val="FFFFFF"/>
          <w:kern w:val="32"/>
          <w:sz w:val="24"/>
          <w:szCs w:val="24"/>
          <w:lang w:val="en-GB"/>
        </w:rPr>
      </w:pPr>
      <w:bookmarkStart w:id="4" w:name="_Toc456286156"/>
      <w:bookmarkStart w:id="5" w:name="_Toc453837001"/>
      <w:bookmarkStart w:id="6" w:name="_Toc453837002"/>
      <w:bookmarkStart w:id="7" w:name="_Toc382206462"/>
      <w:bookmarkStart w:id="8" w:name="_Toc460239097"/>
      <w:bookmarkStart w:id="9" w:name="_Toc124214806"/>
      <w:bookmarkEnd w:id="4"/>
      <w:bookmarkEnd w:id="5"/>
      <w:bookmarkEnd w:id="6"/>
      <w:r>
        <w:rPr>
          <w:rFonts w:cs="Times New Roman"/>
          <w:caps w:val="0"/>
          <w:color w:val="FFFFFF"/>
          <w:sz w:val="24"/>
          <w:szCs w:val="24"/>
          <w:lang w:val="en-GB"/>
        </w:rPr>
        <w:t>NEMO OVERSIGHT AND CACM COMPLIANCE</w:t>
      </w:r>
      <w:bookmarkEnd w:id="7"/>
      <w:bookmarkEnd w:id="8"/>
    </w:p>
    <w:p w:rsidR="001C6694" w:rsidRDefault="001C6694" w:rsidP="001C6694">
      <w:pPr>
        <w:spacing w:line="300" w:lineRule="auto"/>
        <w:rPr>
          <w:lang w:val="en-GB"/>
        </w:rPr>
      </w:pPr>
      <w:bookmarkStart w:id="10" w:name="_Toc382206467"/>
      <w:bookmarkEnd w:id="9"/>
      <w:r>
        <w:rPr>
          <w:lang w:val="en-GB"/>
        </w:rPr>
        <w:t xml:space="preserve"> </w:t>
      </w:r>
    </w:p>
    <w:p w:rsidR="001C6694" w:rsidRPr="00A63951" w:rsidRDefault="005A26D3" w:rsidP="001C6694">
      <w:pPr>
        <w:pStyle w:val="Heading3"/>
        <w:keepLines w:val="0"/>
        <w:numPr>
          <w:ilvl w:val="1"/>
          <w:numId w:val="1"/>
        </w:numPr>
        <w:pBdr>
          <w:top w:val="single" w:sz="6" w:space="0" w:color="31849B" w:themeColor="accent5" w:themeShade="BF"/>
          <w:left w:val="single" w:sz="6" w:space="2" w:color="31849B" w:themeColor="accent5" w:themeShade="BF"/>
        </w:pBdr>
        <w:spacing w:before="0" w:line="300" w:lineRule="auto"/>
        <w:jc w:val="both"/>
        <w:rPr>
          <w:color w:val="4BACC6" w:themeColor="accent5"/>
          <w:lang w:val="en-GB"/>
        </w:rPr>
      </w:pPr>
      <w:bookmarkStart w:id="11" w:name="_Toc460239098"/>
      <w:r>
        <w:rPr>
          <w:color w:val="4BACC6" w:themeColor="accent5"/>
          <w:lang w:val="en-GB"/>
        </w:rPr>
        <w:t>INTRODUCTION</w:t>
      </w:r>
      <w:bookmarkEnd w:id="11"/>
    </w:p>
    <w:p w:rsidR="004F0B65" w:rsidRPr="000B1F6F" w:rsidRDefault="004F0B65" w:rsidP="000B1F6F">
      <w:pPr>
        <w:rPr>
          <w:b/>
          <w:lang w:val="en-GB"/>
        </w:rPr>
      </w:pPr>
    </w:p>
    <w:p w:rsidR="008C2B91" w:rsidRPr="000B1F6F" w:rsidRDefault="008C2B91" w:rsidP="000B1F6F">
      <w:pPr>
        <w:pStyle w:val="NoSpacing"/>
        <w:rPr>
          <w:rFonts w:asciiTheme="minorHAnsi" w:eastAsiaTheme="minorEastAsia" w:hAnsiTheme="minorHAnsi"/>
          <w:sz w:val="22"/>
          <w:lang w:eastAsia="en-IE"/>
        </w:rPr>
      </w:pPr>
      <w:r w:rsidRPr="000B1F6F">
        <w:rPr>
          <w:rFonts w:asciiTheme="minorHAnsi" w:eastAsiaTheme="minorEastAsia" w:hAnsiTheme="minorHAnsi"/>
          <w:sz w:val="22"/>
          <w:lang w:eastAsia="en-IE"/>
        </w:rPr>
        <w:t xml:space="preserve">The Capacity Allocation and Congestion Management Regulation (CACM or the Regulation) came into force on 14 August 2015 requiring a designation of a Nominated Electricity Market Operator for performance of day ahead and intraday market coupling for I-SEM by 14 December 2015. </w:t>
      </w:r>
    </w:p>
    <w:p w:rsidR="0087668C" w:rsidRPr="000B1F6F" w:rsidRDefault="0087668C" w:rsidP="000B1F6F">
      <w:pPr>
        <w:pStyle w:val="NoSpacing"/>
        <w:rPr>
          <w:rFonts w:asciiTheme="minorHAnsi" w:eastAsiaTheme="minorEastAsia" w:hAnsiTheme="minorHAnsi"/>
          <w:sz w:val="22"/>
          <w:lang w:eastAsia="en-IE"/>
        </w:rPr>
      </w:pPr>
    </w:p>
    <w:p w:rsidR="008C2B91" w:rsidRPr="000B1F6F" w:rsidRDefault="008C2B91" w:rsidP="000B1F6F">
      <w:pPr>
        <w:pStyle w:val="NoSpacing"/>
        <w:rPr>
          <w:rFonts w:asciiTheme="minorHAnsi" w:eastAsiaTheme="minorEastAsia" w:hAnsiTheme="minorHAnsi"/>
          <w:sz w:val="22"/>
          <w:lang w:eastAsia="en-IE"/>
        </w:rPr>
      </w:pPr>
      <w:r w:rsidRPr="000B1F6F">
        <w:rPr>
          <w:rFonts w:asciiTheme="minorHAnsi" w:eastAsiaTheme="minorEastAsia" w:hAnsiTheme="minorHAnsi"/>
          <w:sz w:val="22"/>
          <w:lang w:eastAsia="en-IE"/>
        </w:rPr>
        <w:t xml:space="preserve">The CER and UR invited candidates to submit NEMO designation applications no later than 24 June 2015, to be designated through an initial designation process.  </w:t>
      </w:r>
      <w:r w:rsidR="00B659AD">
        <w:rPr>
          <w:rFonts w:asciiTheme="minorHAnsi" w:eastAsiaTheme="minorEastAsia" w:hAnsiTheme="minorHAnsi"/>
          <w:sz w:val="22"/>
          <w:lang w:eastAsia="en-IE"/>
        </w:rPr>
        <w:t>One</w:t>
      </w:r>
      <w:r w:rsidR="00846B65">
        <w:rPr>
          <w:rFonts w:asciiTheme="minorHAnsi" w:eastAsiaTheme="minorEastAsia" w:hAnsiTheme="minorHAnsi"/>
          <w:sz w:val="22"/>
          <w:lang w:eastAsia="en-IE"/>
        </w:rPr>
        <w:t xml:space="preserve"> </w:t>
      </w:r>
      <w:r w:rsidRPr="000B1F6F">
        <w:rPr>
          <w:rFonts w:asciiTheme="minorHAnsi" w:eastAsiaTheme="minorEastAsia" w:hAnsiTheme="minorHAnsi"/>
          <w:sz w:val="22"/>
          <w:lang w:eastAsia="en-IE"/>
        </w:rPr>
        <w:t>application</w:t>
      </w:r>
      <w:r w:rsidR="00B659AD">
        <w:rPr>
          <w:rFonts w:asciiTheme="minorHAnsi" w:eastAsiaTheme="minorEastAsia" w:hAnsiTheme="minorHAnsi"/>
          <w:sz w:val="22"/>
          <w:lang w:eastAsia="en-IE"/>
        </w:rPr>
        <w:t xml:space="preserve"> was</w:t>
      </w:r>
      <w:r w:rsidRPr="000B1F6F">
        <w:rPr>
          <w:rFonts w:asciiTheme="minorHAnsi" w:eastAsiaTheme="minorEastAsia" w:hAnsiTheme="minorHAnsi"/>
          <w:sz w:val="22"/>
          <w:lang w:eastAsia="en-IE"/>
        </w:rPr>
        <w:t xml:space="preserve"> received from EirGrid plc for designation in Ireland and</w:t>
      </w:r>
      <w:r w:rsidR="00FF7E2A">
        <w:rPr>
          <w:rFonts w:asciiTheme="minorHAnsi" w:eastAsiaTheme="minorEastAsia" w:hAnsiTheme="minorHAnsi"/>
          <w:sz w:val="22"/>
          <w:lang w:eastAsia="en-IE"/>
        </w:rPr>
        <w:t xml:space="preserve"> one</w:t>
      </w:r>
      <w:r w:rsidRPr="000B1F6F">
        <w:rPr>
          <w:rFonts w:asciiTheme="minorHAnsi" w:eastAsiaTheme="minorEastAsia" w:hAnsiTheme="minorHAnsi"/>
          <w:sz w:val="22"/>
          <w:lang w:eastAsia="en-IE"/>
        </w:rPr>
        <w:t xml:space="preserve"> from SONI Ltd in Northern Ireland.</w:t>
      </w:r>
      <w:r w:rsidR="007F330A">
        <w:rPr>
          <w:rStyle w:val="FootnoteReference"/>
          <w:rFonts w:asciiTheme="minorHAnsi" w:eastAsiaTheme="minorEastAsia" w:hAnsiTheme="minorHAnsi"/>
          <w:sz w:val="22"/>
          <w:lang w:eastAsia="en-IE"/>
        </w:rPr>
        <w:footnoteReference w:id="2"/>
      </w:r>
    </w:p>
    <w:p w:rsidR="0087668C" w:rsidRPr="000B1F6F" w:rsidRDefault="0087668C" w:rsidP="000B1F6F">
      <w:pPr>
        <w:pStyle w:val="NoSpacing"/>
        <w:rPr>
          <w:rFonts w:asciiTheme="minorHAnsi" w:eastAsiaTheme="minorEastAsia" w:hAnsiTheme="minorHAnsi"/>
          <w:sz w:val="22"/>
          <w:lang w:eastAsia="en-IE"/>
        </w:rPr>
      </w:pPr>
    </w:p>
    <w:p w:rsidR="0087668C" w:rsidRDefault="0087668C" w:rsidP="000B1F6F">
      <w:pPr>
        <w:jc w:val="both"/>
        <w:rPr>
          <w:lang w:val="en-GB"/>
        </w:rPr>
      </w:pPr>
      <w:r w:rsidRPr="000B1F6F">
        <w:rPr>
          <w:lang w:val="en-GB"/>
        </w:rPr>
        <w:t>On 2 October, 2015 the CER designated</w:t>
      </w:r>
      <w:r w:rsidR="008C2B91" w:rsidRPr="000B1F6F">
        <w:rPr>
          <w:lang w:val="en-GB"/>
        </w:rPr>
        <w:t xml:space="preserve"> EirGrid as the Designated NEMO for Ireland under Article 4 of CACM </w:t>
      </w:r>
      <w:r w:rsidRPr="000B1F6F">
        <w:rPr>
          <w:lang w:val="en-GB"/>
        </w:rPr>
        <w:t xml:space="preserve">and the UR designated SONI as the Designated NEMO for Northern Ireland with both designations being </w:t>
      </w:r>
      <w:r w:rsidR="008C2B91" w:rsidRPr="000B1F6F">
        <w:rPr>
          <w:lang w:val="en-GB"/>
        </w:rPr>
        <w:t>subject to the terms and meaning of designation</w:t>
      </w:r>
      <w:r w:rsidRPr="000B1F6F">
        <w:rPr>
          <w:lang w:val="en-GB"/>
        </w:rPr>
        <w:t xml:space="preserve"> as outlined</w:t>
      </w:r>
      <w:r w:rsidR="008C2B91" w:rsidRPr="000B1F6F">
        <w:rPr>
          <w:lang w:val="en-GB"/>
        </w:rPr>
        <w:t>.</w:t>
      </w:r>
      <w:r w:rsidRPr="000B1F6F">
        <w:rPr>
          <w:lang w:val="en-GB"/>
        </w:rPr>
        <w:t xml:space="preserve">  In addition, the respective designation documents set out next steps for the wider regulatory framework for NEMOs in Ireland</w:t>
      </w:r>
      <w:r w:rsidR="005A55C3">
        <w:rPr>
          <w:lang w:val="en-GB"/>
        </w:rPr>
        <w:t xml:space="preserve"> and Northern Ireland</w:t>
      </w:r>
      <w:r w:rsidRPr="000B1F6F">
        <w:rPr>
          <w:lang w:val="en-GB"/>
        </w:rPr>
        <w:t>.</w:t>
      </w:r>
    </w:p>
    <w:p w:rsidR="005A26D3" w:rsidRDefault="005A26D3" w:rsidP="000B1F6F">
      <w:pPr>
        <w:jc w:val="both"/>
        <w:rPr>
          <w:lang w:val="en-GB"/>
        </w:rPr>
      </w:pPr>
      <w:r>
        <w:rPr>
          <w:lang w:val="en-GB"/>
        </w:rPr>
        <w:t>Article 4(5) of CACM prescribes that a NEMO designated in one Member State shall have the right to offer day-ahead and intraday trading services with delivery in another Member State.  The trading rules in the latter Member State apply without the need for designation as a NEMO in that Member State.  For this reason although NEMO designation is an issue for each NRA, the ACER NRAs have worked on an informal basis to consider how CACM compliance by NEMOs might best be monitored.</w:t>
      </w:r>
    </w:p>
    <w:p w:rsidR="005A26D3" w:rsidRDefault="003E2379" w:rsidP="00DB7093">
      <w:pPr>
        <w:pStyle w:val="Heading3"/>
        <w:keepLines w:val="0"/>
        <w:numPr>
          <w:ilvl w:val="1"/>
          <w:numId w:val="1"/>
        </w:numPr>
        <w:pBdr>
          <w:top w:val="single" w:sz="6" w:space="0" w:color="31849B" w:themeColor="accent5" w:themeShade="BF"/>
          <w:left w:val="single" w:sz="6" w:space="2" w:color="31849B" w:themeColor="accent5" w:themeShade="BF"/>
        </w:pBdr>
        <w:spacing w:before="0" w:line="300" w:lineRule="auto"/>
        <w:jc w:val="both"/>
        <w:rPr>
          <w:color w:val="4BACC6" w:themeColor="accent5"/>
          <w:lang w:val="en-GB"/>
        </w:rPr>
      </w:pPr>
      <w:bookmarkStart w:id="12" w:name="_Toc460239099"/>
      <w:r>
        <w:rPr>
          <w:color w:val="4BACC6" w:themeColor="accent5"/>
          <w:lang w:val="en-GB"/>
        </w:rPr>
        <w:t>REGULATORY OVERSIGHT</w:t>
      </w:r>
      <w:bookmarkEnd w:id="12"/>
      <w:r>
        <w:rPr>
          <w:color w:val="4BACC6" w:themeColor="accent5"/>
          <w:lang w:val="en-GB"/>
        </w:rPr>
        <w:t xml:space="preserve"> </w:t>
      </w:r>
    </w:p>
    <w:p w:rsidR="005A26D3" w:rsidRPr="00DB7093" w:rsidRDefault="005A26D3" w:rsidP="00DB7093">
      <w:pPr>
        <w:rPr>
          <w:lang w:val="en-GB"/>
        </w:rPr>
      </w:pPr>
    </w:p>
    <w:p w:rsidR="000B1F6F" w:rsidRDefault="000B1F6F" w:rsidP="000B1F6F">
      <w:pPr>
        <w:jc w:val="both"/>
        <w:rPr>
          <w:lang w:val="en-GB"/>
        </w:rPr>
      </w:pPr>
      <w:r>
        <w:rPr>
          <w:lang w:val="en-GB"/>
        </w:rPr>
        <w:t xml:space="preserve">Article 4(5) imposes an obligation on all designating authorities to monitor all NEMOs performing single day-ahead and intra-day coupling within their Member State irrespective of where such NEMOs are designated.  </w:t>
      </w:r>
      <w:r w:rsidR="007A362C">
        <w:rPr>
          <w:lang w:val="en-GB"/>
        </w:rPr>
        <w:t>Further details on the designation criteria are provided in Annex 2 to this paper.</w:t>
      </w:r>
    </w:p>
    <w:p w:rsidR="00AB24E3" w:rsidRDefault="00B07886" w:rsidP="00B07886">
      <w:pPr>
        <w:tabs>
          <w:tab w:val="left" w:pos="1770"/>
        </w:tabs>
        <w:autoSpaceDE w:val="0"/>
        <w:autoSpaceDN w:val="0"/>
        <w:adjustRightInd w:val="0"/>
        <w:jc w:val="both"/>
        <w:rPr>
          <w:lang w:val="en-GB"/>
        </w:rPr>
      </w:pPr>
      <w:r>
        <w:rPr>
          <w:lang w:val="en-GB"/>
        </w:rPr>
        <w:t xml:space="preserve">Given that from I-SEM Go-live, only one NEMO has been designated for Ireland and </w:t>
      </w:r>
      <w:r w:rsidR="005A55C3">
        <w:rPr>
          <w:lang w:val="en-GB"/>
        </w:rPr>
        <w:t xml:space="preserve">one NEMO </w:t>
      </w:r>
      <w:r>
        <w:rPr>
          <w:lang w:val="en-GB"/>
        </w:rPr>
        <w:t xml:space="preserve">for Northern Ireland thus far, and given the importance of the NEMO markets to the I-SEM, the RAs </w:t>
      </w:r>
      <w:r w:rsidR="006E1B3D">
        <w:rPr>
          <w:lang w:val="en-GB"/>
        </w:rPr>
        <w:t>have</w:t>
      </w:r>
      <w:r>
        <w:rPr>
          <w:lang w:val="en-GB"/>
        </w:rPr>
        <w:t xml:space="preserve"> consider</w:t>
      </w:r>
      <w:r w:rsidR="006E1B3D">
        <w:rPr>
          <w:lang w:val="en-GB"/>
        </w:rPr>
        <w:t>ed</w:t>
      </w:r>
      <w:r>
        <w:rPr>
          <w:lang w:val="en-GB"/>
        </w:rPr>
        <w:t xml:space="preserve"> what degree of additional regulatory oversight may be appropriate in order to </w:t>
      </w:r>
      <w:r>
        <w:rPr>
          <w:lang w:val="en-GB"/>
        </w:rPr>
        <w:lastRenderedPageBreak/>
        <w:t xml:space="preserve">ensure that NEMO costs are efficient and the interests of consumers </w:t>
      </w:r>
      <w:r w:rsidR="00583E91">
        <w:rPr>
          <w:lang w:val="en-GB"/>
        </w:rPr>
        <w:t xml:space="preserve">on the island of Ireland </w:t>
      </w:r>
      <w:r>
        <w:rPr>
          <w:lang w:val="en-GB"/>
        </w:rPr>
        <w:t xml:space="preserve">are protected.  </w:t>
      </w:r>
    </w:p>
    <w:p w:rsidR="00AB24E3" w:rsidRDefault="00AB24E3" w:rsidP="00B07886">
      <w:pPr>
        <w:tabs>
          <w:tab w:val="left" w:pos="1770"/>
        </w:tabs>
        <w:autoSpaceDE w:val="0"/>
        <w:autoSpaceDN w:val="0"/>
        <w:adjustRightInd w:val="0"/>
        <w:jc w:val="both"/>
        <w:rPr>
          <w:lang w:val="en-GB"/>
        </w:rPr>
      </w:pPr>
      <w:r>
        <w:rPr>
          <w:lang w:val="en-GB"/>
        </w:rPr>
        <w:t>It should also be noted that unlike other markets where NEMOs compete with Over The Counter trades (OTC) and bilateral trades in addition to competing with other NEMOs; in SEM options for competition are limited; NEMOs are the sole conduit for access to the ex-ante markets, and only one NEMO has been designated in Ireland and one in Northern Ireland.  For this reason, regulatory oversight of NEMOs is of paramount importance in SEM.</w:t>
      </w:r>
    </w:p>
    <w:p w:rsidR="005A26D3" w:rsidRDefault="00B07886" w:rsidP="00B07886">
      <w:pPr>
        <w:tabs>
          <w:tab w:val="left" w:pos="1770"/>
        </w:tabs>
        <w:autoSpaceDE w:val="0"/>
        <w:autoSpaceDN w:val="0"/>
        <w:adjustRightInd w:val="0"/>
        <w:jc w:val="both"/>
        <w:rPr>
          <w:lang w:val="en-GB"/>
        </w:rPr>
      </w:pPr>
      <w:r>
        <w:rPr>
          <w:lang w:val="en-GB"/>
        </w:rPr>
        <w:t xml:space="preserve">The CER and UR </w:t>
      </w:r>
      <w:r w:rsidR="006E1B3D">
        <w:rPr>
          <w:lang w:val="en-GB"/>
        </w:rPr>
        <w:t>have</w:t>
      </w:r>
      <w:r>
        <w:rPr>
          <w:lang w:val="en-GB"/>
        </w:rPr>
        <w:t xml:space="preserve"> consider</w:t>
      </w:r>
      <w:r w:rsidR="006E1B3D">
        <w:rPr>
          <w:lang w:val="en-GB"/>
        </w:rPr>
        <w:t>ed</w:t>
      </w:r>
      <w:r>
        <w:rPr>
          <w:lang w:val="en-GB"/>
        </w:rPr>
        <w:t xml:space="preserve"> wh</w:t>
      </w:r>
      <w:r w:rsidR="005A55C3">
        <w:rPr>
          <w:lang w:val="en-GB"/>
        </w:rPr>
        <w:t>ich</w:t>
      </w:r>
      <w:r>
        <w:rPr>
          <w:lang w:val="en-GB"/>
        </w:rPr>
        <w:t xml:space="preserve"> NEMO monitoring tools and/or enforcement powers might be appropriate.  It should be noted that the issue of NEMO regulation and CACM compliance is a matter of concern to European Regulators including Ofgem who, for example, with the Department of Energy and Climate Change </w:t>
      </w:r>
      <w:r w:rsidR="005A55C3">
        <w:rPr>
          <w:lang w:val="en-GB"/>
        </w:rPr>
        <w:t xml:space="preserve">have consulted on </w:t>
      </w:r>
      <w:r>
        <w:rPr>
          <w:lang w:val="en-GB"/>
        </w:rPr>
        <w:t>NEMO regulation and enforcement with respect to the NEMO designation in Great Britain</w:t>
      </w:r>
      <w:r>
        <w:rPr>
          <w:rStyle w:val="FootnoteReference"/>
          <w:lang w:val="en-GB"/>
        </w:rPr>
        <w:footnoteReference w:id="3"/>
      </w:r>
    </w:p>
    <w:p w:rsidR="003E2379" w:rsidRDefault="003E2379" w:rsidP="00DB7093">
      <w:pPr>
        <w:pStyle w:val="Heading3"/>
        <w:keepLines w:val="0"/>
        <w:numPr>
          <w:ilvl w:val="1"/>
          <w:numId w:val="1"/>
        </w:numPr>
        <w:pBdr>
          <w:top w:val="single" w:sz="6" w:space="0" w:color="31849B" w:themeColor="accent5" w:themeShade="BF"/>
          <w:left w:val="single" w:sz="6" w:space="2" w:color="31849B" w:themeColor="accent5" w:themeShade="BF"/>
        </w:pBdr>
        <w:spacing w:before="0" w:line="300" w:lineRule="auto"/>
        <w:jc w:val="both"/>
        <w:rPr>
          <w:color w:val="4BACC6" w:themeColor="accent5"/>
          <w:lang w:val="en-GB"/>
        </w:rPr>
      </w:pPr>
      <w:bookmarkStart w:id="13" w:name="_Toc460239100"/>
      <w:r w:rsidRPr="00DB7093">
        <w:rPr>
          <w:color w:val="4BACC6" w:themeColor="accent5"/>
          <w:lang w:val="en-GB"/>
        </w:rPr>
        <w:t>CACM COMPLIANCE</w:t>
      </w:r>
      <w:bookmarkEnd w:id="13"/>
    </w:p>
    <w:p w:rsidR="003E2379" w:rsidRDefault="003E2379" w:rsidP="00DB7093">
      <w:pPr>
        <w:rPr>
          <w:lang w:val="en-GB"/>
        </w:rPr>
      </w:pPr>
    </w:p>
    <w:p w:rsidR="003E2379" w:rsidRDefault="003E2379" w:rsidP="004E469A">
      <w:pPr>
        <w:jc w:val="both"/>
        <w:rPr>
          <w:lang w:val="en-GB"/>
        </w:rPr>
      </w:pPr>
      <w:r>
        <w:rPr>
          <w:lang w:val="en-GB"/>
        </w:rPr>
        <w:t xml:space="preserve">As a matter of course all designated </w:t>
      </w:r>
      <w:r w:rsidRPr="00900726">
        <w:rPr>
          <w:lang w:val="en-GB"/>
        </w:rPr>
        <w:t xml:space="preserve">NEMOs are regulated through ongoing monitoring of CACM compliance which will be overseen by all NRAs.  The NEMO designation criteria detailed in Article 6 of CACM apply regardless of whether one or more NEMOs are designated or whether one or more NEMOs operate in any Bidding Zone.  A NEMO designated in any Bidding Zone will be responsible for and be required to make sure it continues to comply with the criteria and its wider obligations and requirements set out in CACM together with ensuring compliance with EU law and any local arrangements as may apply from time to time.  </w:t>
      </w:r>
    </w:p>
    <w:p w:rsidR="00DA1DE5" w:rsidRPr="004E469A" w:rsidRDefault="00DA1DE5" w:rsidP="004E469A">
      <w:pPr>
        <w:spacing w:line="300" w:lineRule="auto"/>
        <w:jc w:val="both"/>
        <w:rPr>
          <w:rFonts w:cstheme="minorHAnsi"/>
          <w:bCs/>
          <w:lang w:val="en-GB"/>
        </w:rPr>
      </w:pPr>
      <w:r w:rsidRPr="00DA1DE5">
        <w:rPr>
          <w:rFonts w:cstheme="minorHAnsi"/>
          <w:bCs/>
          <w:lang w:val="en-GB"/>
        </w:rPr>
        <w:t xml:space="preserve">The RAs </w:t>
      </w:r>
      <w:r w:rsidRPr="000753A7">
        <w:rPr>
          <w:rFonts w:cstheme="minorHAnsi"/>
          <w:bCs/>
          <w:lang w:val="en-GB"/>
        </w:rPr>
        <w:t>will continue to work with ACER NRAs who are the NEMO designating authorities across Europe, to ensure CACM compliance by NEMOs operating in SEM.  In particular, CACM Regulation sets out that the designating authority shall monitor all NEMOs performing single day-ahead and/ or intra-day coupling within their Member State.  In addition, the CER and UR as designating authorities shall in accordance with Article 19 of Regulation 714/</w:t>
      </w:r>
      <w:r w:rsidRPr="004E469A">
        <w:rPr>
          <w:rFonts w:cstheme="minorHAnsi"/>
          <w:bCs/>
          <w:lang w:val="en-GB"/>
        </w:rPr>
        <w:t>2009 ensure compliance with this Regulation by all NEMOs performing singe day-ahead and /or intra-day coupling within their Member State.  Furthermore, Article 82 of CACM Regulation provides that the entity or entities performing the Market Coupling Operator functions shall be monitored by the regulatory authorities or relevant authorities of the territory where they are located, to ensure proper monitoring of singe day-ahead and intraday coupling in accordance with article 38 of Directive 2009/72/EC.</w:t>
      </w:r>
    </w:p>
    <w:p w:rsidR="00DA1DE5" w:rsidRDefault="00DA1DE5" w:rsidP="004E469A">
      <w:pPr>
        <w:jc w:val="both"/>
        <w:rPr>
          <w:lang w:val="en-GB"/>
        </w:rPr>
      </w:pPr>
    </w:p>
    <w:p w:rsidR="00DA1DE5" w:rsidRDefault="00DA1DE5" w:rsidP="004E469A">
      <w:pPr>
        <w:jc w:val="both"/>
        <w:rPr>
          <w:lang w:val="en-GB"/>
        </w:rPr>
      </w:pPr>
    </w:p>
    <w:p w:rsidR="004E469A" w:rsidRDefault="004E469A" w:rsidP="004E469A">
      <w:pPr>
        <w:jc w:val="both"/>
        <w:rPr>
          <w:lang w:val="en-GB"/>
        </w:rPr>
      </w:pPr>
    </w:p>
    <w:p w:rsidR="004E469A" w:rsidRDefault="004E469A" w:rsidP="004E469A">
      <w:pPr>
        <w:jc w:val="both"/>
        <w:rPr>
          <w:lang w:val="en-GB"/>
        </w:rPr>
      </w:pPr>
    </w:p>
    <w:p w:rsidR="00DA1DE5" w:rsidRPr="00900726" w:rsidRDefault="00DA1DE5" w:rsidP="004E469A">
      <w:pPr>
        <w:jc w:val="both"/>
        <w:rPr>
          <w:lang w:val="en-GB"/>
        </w:rPr>
      </w:pPr>
    </w:p>
    <w:p w:rsidR="003E2379" w:rsidRPr="00DB7093" w:rsidRDefault="003E2379" w:rsidP="00DB7093">
      <w:pPr>
        <w:pStyle w:val="Heading3"/>
        <w:keepLines w:val="0"/>
        <w:numPr>
          <w:ilvl w:val="1"/>
          <w:numId w:val="1"/>
        </w:numPr>
        <w:pBdr>
          <w:top w:val="single" w:sz="6" w:space="0" w:color="31849B" w:themeColor="accent5" w:themeShade="BF"/>
          <w:left w:val="single" w:sz="6" w:space="2" w:color="31849B" w:themeColor="accent5" w:themeShade="BF"/>
        </w:pBdr>
        <w:spacing w:before="0" w:line="300" w:lineRule="auto"/>
        <w:jc w:val="both"/>
        <w:rPr>
          <w:color w:val="4BACC6" w:themeColor="accent5"/>
          <w:lang w:val="en-GB"/>
        </w:rPr>
      </w:pPr>
      <w:bookmarkStart w:id="14" w:name="_Toc460239101"/>
      <w:r w:rsidRPr="00DB7093">
        <w:rPr>
          <w:color w:val="4BACC6" w:themeColor="accent5"/>
          <w:lang w:val="en-GB"/>
        </w:rPr>
        <w:t>REVOCATION OF DESIGNATION</w:t>
      </w:r>
      <w:bookmarkEnd w:id="14"/>
    </w:p>
    <w:p w:rsidR="003E2379" w:rsidRDefault="003E2379" w:rsidP="00DB7093">
      <w:pPr>
        <w:rPr>
          <w:lang w:val="en-GB"/>
        </w:rPr>
      </w:pPr>
    </w:p>
    <w:p w:rsidR="003E2379" w:rsidRDefault="003E2379" w:rsidP="003E2379">
      <w:pPr>
        <w:jc w:val="both"/>
        <w:rPr>
          <w:lang w:val="en-GB"/>
        </w:rPr>
      </w:pPr>
      <w:r w:rsidRPr="000B1F6F">
        <w:rPr>
          <w:lang w:val="en-GB"/>
        </w:rPr>
        <w:t xml:space="preserve">In the event a designated NEMO fails to maintain compliance with the criteria and is not able to restore compliance within six months of being notified of such failure by the designating authority, </w:t>
      </w:r>
      <w:r>
        <w:rPr>
          <w:lang w:val="en-GB"/>
        </w:rPr>
        <w:t xml:space="preserve">such NEMO designation may be revoked.  </w:t>
      </w:r>
    </w:p>
    <w:p w:rsidR="003E2379" w:rsidRDefault="003E2379" w:rsidP="00DB7093">
      <w:pPr>
        <w:pStyle w:val="Heading3"/>
        <w:keepLines w:val="0"/>
        <w:numPr>
          <w:ilvl w:val="1"/>
          <w:numId w:val="1"/>
        </w:numPr>
        <w:pBdr>
          <w:top w:val="single" w:sz="6" w:space="0" w:color="31849B" w:themeColor="accent5" w:themeShade="BF"/>
          <w:left w:val="single" w:sz="6" w:space="2" w:color="31849B" w:themeColor="accent5" w:themeShade="BF"/>
        </w:pBdr>
        <w:spacing w:before="0" w:line="300" w:lineRule="auto"/>
        <w:jc w:val="both"/>
        <w:rPr>
          <w:color w:val="4BACC6" w:themeColor="accent5"/>
          <w:lang w:val="en-GB"/>
        </w:rPr>
      </w:pPr>
      <w:bookmarkStart w:id="15" w:name="_Toc460239102"/>
      <w:r w:rsidRPr="00DB7093">
        <w:rPr>
          <w:color w:val="4BACC6" w:themeColor="accent5"/>
          <w:lang w:val="en-GB"/>
        </w:rPr>
        <w:t>RE-DESIGNATION</w:t>
      </w:r>
      <w:bookmarkEnd w:id="15"/>
    </w:p>
    <w:p w:rsidR="003E2379" w:rsidRDefault="003E2379" w:rsidP="00DB7093">
      <w:pPr>
        <w:rPr>
          <w:lang w:val="en-GB"/>
        </w:rPr>
      </w:pPr>
    </w:p>
    <w:p w:rsidR="003E2379" w:rsidRDefault="003E2379" w:rsidP="003E2379">
      <w:pPr>
        <w:jc w:val="both"/>
        <w:rPr>
          <w:lang w:val="en-GB"/>
        </w:rPr>
      </w:pPr>
      <w:r w:rsidRPr="000B1F6F">
        <w:rPr>
          <w:lang w:val="en-GB"/>
        </w:rPr>
        <w:t>CACM regulation requires an initial designation term of four years</w:t>
      </w:r>
      <w:r>
        <w:rPr>
          <w:lang w:val="en-GB"/>
        </w:rPr>
        <w:t xml:space="preserve"> except in the case of a national legal monopoly (Article 4) where Member States must allow applications for designation at least annually</w:t>
      </w:r>
      <w:r w:rsidRPr="000B1F6F">
        <w:rPr>
          <w:lang w:val="en-GB"/>
        </w:rPr>
        <w:t xml:space="preserve">. </w:t>
      </w:r>
      <w:r>
        <w:rPr>
          <w:lang w:val="en-GB"/>
        </w:rPr>
        <w:t xml:space="preserve">As </w:t>
      </w:r>
      <w:r w:rsidR="00BF2572">
        <w:rPr>
          <w:lang w:val="en-GB"/>
        </w:rPr>
        <w:t>the RAs</w:t>
      </w:r>
      <w:r>
        <w:rPr>
          <w:lang w:val="en-GB"/>
        </w:rPr>
        <w:t xml:space="preserve"> did not seek to invoke Article 4 of CACM</w:t>
      </w:r>
      <w:r w:rsidR="00BF2572">
        <w:rPr>
          <w:rStyle w:val="FootnoteReference"/>
          <w:lang w:val="en-GB"/>
        </w:rPr>
        <w:footnoteReference w:id="4"/>
      </w:r>
      <w:r>
        <w:rPr>
          <w:lang w:val="en-GB"/>
        </w:rPr>
        <w:t xml:space="preserve">, in our respective designation notices, </w:t>
      </w:r>
      <w:r w:rsidR="00270BB7">
        <w:rPr>
          <w:lang w:val="en-GB"/>
        </w:rPr>
        <w:t xml:space="preserve">the CER and UR stated that as only one application was received by the designating authority in each respective jurisdiction that EirGrid and SONI as the designated NEMO should confirm nine months before the expiry of this initial four-year period if it wishes to continue to be a designated NEMO in Ireland and Northern Ireland, and submit evidence demonstrating how EirGrid and SONI continue to comply with the designation criteria.  The RAs will then assess </w:t>
      </w:r>
      <w:r w:rsidR="00B659AD">
        <w:rPr>
          <w:lang w:val="en-GB"/>
        </w:rPr>
        <w:t xml:space="preserve">this evidence and publish a decision to extend the NEMO designation before its expiry date.  The RAS consider that </w:t>
      </w:r>
      <w:r w:rsidR="009C1C23">
        <w:rPr>
          <w:lang w:val="en-GB"/>
        </w:rPr>
        <w:t>any</w:t>
      </w:r>
      <w:r w:rsidR="00B659AD">
        <w:rPr>
          <w:lang w:val="en-GB"/>
        </w:rPr>
        <w:t xml:space="preserve"> re-designation following this initial four year designation should be for an ongoing basis. </w:t>
      </w:r>
      <w:r>
        <w:rPr>
          <w:lang w:val="en-GB"/>
        </w:rPr>
        <w:t>Notwithstanding this, it is implicit that any s</w:t>
      </w:r>
      <w:r w:rsidR="00B659AD">
        <w:rPr>
          <w:lang w:val="en-GB"/>
        </w:rPr>
        <w:t xml:space="preserve">ubsequent </w:t>
      </w:r>
      <w:r>
        <w:rPr>
          <w:lang w:val="en-GB"/>
        </w:rPr>
        <w:t>designation is also a conditional designation based on compliance with criteria of Article 6.</w:t>
      </w:r>
    </w:p>
    <w:p w:rsidR="00B07886" w:rsidRDefault="002D2F38" w:rsidP="00DB7093">
      <w:pPr>
        <w:pStyle w:val="Heading3"/>
        <w:keepLines w:val="0"/>
        <w:numPr>
          <w:ilvl w:val="1"/>
          <w:numId w:val="1"/>
        </w:numPr>
        <w:pBdr>
          <w:top w:val="single" w:sz="6" w:space="0" w:color="31849B" w:themeColor="accent5" w:themeShade="BF"/>
          <w:left w:val="single" w:sz="6" w:space="2" w:color="31849B" w:themeColor="accent5" w:themeShade="BF"/>
        </w:pBdr>
        <w:spacing w:before="0" w:line="300" w:lineRule="auto"/>
        <w:jc w:val="both"/>
        <w:rPr>
          <w:color w:val="4BACC6" w:themeColor="accent5"/>
          <w:lang w:val="en-GB"/>
        </w:rPr>
      </w:pPr>
      <w:bookmarkStart w:id="16" w:name="_Toc460239103"/>
      <w:r w:rsidRPr="00DB7093">
        <w:rPr>
          <w:color w:val="4BACC6" w:themeColor="accent5"/>
          <w:lang w:val="en-GB"/>
        </w:rPr>
        <w:t>NEMO COORDINATION</w:t>
      </w:r>
      <w:bookmarkEnd w:id="16"/>
    </w:p>
    <w:p w:rsidR="002D2F38" w:rsidRPr="00DB7093" w:rsidRDefault="002D2F38" w:rsidP="00DB7093">
      <w:pPr>
        <w:rPr>
          <w:lang w:val="en-GB"/>
        </w:rPr>
      </w:pPr>
    </w:p>
    <w:p w:rsidR="005A26D3" w:rsidRDefault="005A26D3" w:rsidP="004E469A">
      <w:pPr>
        <w:jc w:val="both"/>
        <w:rPr>
          <w:szCs w:val="24"/>
        </w:rPr>
      </w:pPr>
      <w:r w:rsidRPr="00FB3F08">
        <w:rPr>
          <w:szCs w:val="24"/>
        </w:rPr>
        <w:t xml:space="preserve">At EU level, </w:t>
      </w:r>
      <w:r>
        <w:rPr>
          <w:szCs w:val="24"/>
        </w:rPr>
        <w:t xml:space="preserve">a NEMO Coordination Committee has been established and </w:t>
      </w:r>
      <w:r w:rsidRPr="00FB3F08">
        <w:rPr>
          <w:szCs w:val="24"/>
        </w:rPr>
        <w:t>the NEMO</w:t>
      </w:r>
      <w:r>
        <w:rPr>
          <w:szCs w:val="24"/>
        </w:rPr>
        <w:t>s</w:t>
      </w:r>
      <w:r w:rsidRPr="00FB3F08">
        <w:rPr>
          <w:szCs w:val="24"/>
        </w:rPr>
        <w:t xml:space="preserve"> have been tasked with the development of a M</w:t>
      </w:r>
      <w:r w:rsidR="006E1B3D">
        <w:rPr>
          <w:szCs w:val="24"/>
        </w:rPr>
        <w:t xml:space="preserve">arket </w:t>
      </w:r>
      <w:r w:rsidRPr="00FB3F08">
        <w:rPr>
          <w:szCs w:val="24"/>
        </w:rPr>
        <w:t>C</w:t>
      </w:r>
      <w:r w:rsidR="006E1B3D">
        <w:rPr>
          <w:szCs w:val="24"/>
        </w:rPr>
        <w:t xml:space="preserve">oupling </w:t>
      </w:r>
      <w:r w:rsidRPr="00FB3F08">
        <w:rPr>
          <w:szCs w:val="24"/>
        </w:rPr>
        <w:t>O</w:t>
      </w:r>
      <w:r w:rsidR="006E1B3D">
        <w:rPr>
          <w:szCs w:val="24"/>
        </w:rPr>
        <w:t>perator (MCO)</w:t>
      </w:r>
      <w:r w:rsidRPr="00FB3F08">
        <w:rPr>
          <w:szCs w:val="24"/>
        </w:rPr>
        <w:t xml:space="preserve"> </w:t>
      </w:r>
      <w:r w:rsidRPr="001C6E6B">
        <w:rPr>
          <w:szCs w:val="24"/>
        </w:rPr>
        <w:t>Pla</w:t>
      </w:r>
      <w:r>
        <w:rPr>
          <w:szCs w:val="24"/>
        </w:rPr>
        <w:t xml:space="preserve">n which provides for arrangements as to </w:t>
      </w:r>
      <w:r w:rsidRPr="0008715E">
        <w:rPr>
          <w:szCs w:val="24"/>
        </w:rPr>
        <w:t xml:space="preserve">how NEMOs will jointly set up and perform the MCO functions </w:t>
      </w:r>
      <w:r>
        <w:rPr>
          <w:szCs w:val="24"/>
        </w:rPr>
        <w:t>and the creation of an all NEMO Committee to govern the D</w:t>
      </w:r>
      <w:r w:rsidR="006E1B3D">
        <w:rPr>
          <w:szCs w:val="24"/>
        </w:rPr>
        <w:t>ay ahead</w:t>
      </w:r>
      <w:r>
        <w:rPr>
          <w:szCs w:val="24"/>
        </w:rPr>
        <w:t xml:space="preserve"> and I</w:t>
      </w:r>
      <w:r w:rsidR="006E1B3D">
        <w:rPr>
          <w:szCs w:val="24"/>
        </w:rPr>
        <w:t xml:space="preserve">ntra </w:t>
      </w:r>
      <w:r>
        <w:rPr>
          <w:szCs w:val="24"/>
        </w:rPr>
        <w:t>D</w:t>
      </w:r>
      <w:r w:rsidR="006E1B3D">
        <w:rPr>
          <w:szCs w:val="24"/>
        </w:rPr>
        <w:t>ay</w:t>
      </w:r>
      <w:r>
        <w:rPr>
          <w:szCs w:val="24"/>
        </w:rPr>
        <w:t xml:space="preserve"> algorithms. </w:t>
      </w:r>
      <w:r w:rsidR="003E2379">
        <w:rPr>
          <w:szCs w:val="24"/>
        </w:rPr>
        <w:t xml:space="preserve">  </w:t>
      </w:r>
      <w:r w:rsidR="003E2379">
        <w:t xml:space="preserve">The MCO Plan has been received by all NRAs on 14 April 2016 and </w:t>
      </w:r>
      <w:r w:rsidR="006E1B3D">
        <w:t>is expected</w:t>
      </w:r>
      <w:r w:rsidR="003E2379">
        <w:t xml:space="preserve"> approved in the early autumn</w:t>
      </w:r>
      <w:r w:rsidR="006E1B3D">
        <w:t xml:space="preserve"> 2016</w:t>
      </w:r>
      <w:r w:rsidR="003E2379">
        <w:t>.</w:t>
      </w:r>
    </w:p>
    <w:p w:rsidR="00570616" w:rsidRDefault="00570616" w:rsidP="00B07886">
      <w:pPr>
        <w:tabs>
          <w:tab w:val="left" w:pos="1770"/>
        </w:tabs>
        <w:autoSpaceDE w:val="0"/>
        <w:autoSpaceDN w:val="0"/>
        <w:adjustRightInd w:val="0"/>
        <w:jc w:val="both"/>
        <w:rPr>
          <w:rFonts w:asciiTheme="majorHAnsi" w:eastAsiaTheme="majorEastAsia" w:hAnsiTheme="majorHAnsi" w:cstheme="majorBidi"/>
          <w:b/>
          <w:bCs/>
          <w:color w:val="4BACC6" w:themeColor="accent5"/>
          <w:lang w:val="en-GB"/>
        </w:rPr>
      </w:pPr>
    </w:p>
    <w:p w:rsidR="001C6694" w:rsidRDefault="004066F3" w:rsidP="001C6694">
      <w:pPr>
        <w:pStyle w:val="Heading1"/>
        <w:keepNext w:val="0"/>
        <w:numPr>
          <w:ilvl w:val="0"/>
          <w:numId w:val="1"/>
        </w:numPr>
        <w:pBdr>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pBdr>
        <w:shd w:val="clear" w:color="auto" w:fill="31849B" w:themeFill="accent5" w:themeFillShade="BF"/>
        <w:spacing w:before="0" w:line="300" w:lineRule="auto"/>
        <w:ind w:left="426" w:hanging="426"/>
        <w:jc w:val="both"/>
        <w:rPr>
          <w:rFonts w:asciiTheme="majorHAnsi" w:eastAsiaTheme="majorEastAsia" w:hAnsiTheme="majorHAnsi" w:cstheme="majorBidi"/>
          <w:color w:val="365F91" w:themeColor="accent1" w:themeShade="BF"/>
          <w:szCs w:val="28"/>
        </w:rPr>
      </w:pPr>
      <w:bookmarkStart w:id="17" w:name="_Toc460239104"/>
      <w:bookmarkStart w:id="18" w:name="_Toc460239105"/>
      <w:bookmarkStart w:id="19" w:name="_Toc456286164"/>
      <w:bookmarkStart w:id="20" w:name="_Toc453837005"/>
      <w:bookmarkStart w:id="21" w:name="_Toc453837006"/>
      <w:bookmarkStart w:id="22" w:name="_Toc456286165"/>
      <w:bookmarkStart w:id="23" w:name="_Toc456286166"/>
      <w:bookmarkStart w:id="24" w:name="_Toc456286167"/>
      <w:bookmarkStart w:id="25" w:name="_Toc456286171"/>
      <w:bookmarkStart w:id="26" w:name="_Toc460239106"/>
      <w:bookmarkEnd w:id="17"/>
      <w:bookmarkEnd w:id="18"/>
      <w:bookmarkEnd w:id="19"/>
      <w:bookmarkEnd w:id="20"/>
      <w:bookmarkEnd w:id="21"/>
      <w:bookmarkEnd w:id="22"/>
      <w:bookmarkEnd w:id="23"/>
      <w:bookmarkEnd w:id="24"/>
      <w:bookmarkEnd w:id="25"/>
      <w:r>
        <w:rPr>
          <w:rFonts w:cs="Times New Roman"/>
          <w:caps w:val="0"/>
          <w:color w:val="FFFFFF"/>
          <w:sz w:val="24"/>
          <w:szCs w:val="24"/>
          <w:lang w:val="en-GB"/>
        </w:rPr>
        <w:t>REGULATION OF NEMOS THROUGH LICENCE</w:t>
      </w:r>
      <w:bookmarkEnd w:id="26"/>
    </w:p>
    <w:p w:rsidR="001C6694" w:rsidRDefault="001C6694" w:rsidP="001C6694">
      <w:pPr>
        <w:rPr>
          <w:color w:val="4BACC6" w:themeColor="accent5"/>
        </w:rPr>
      </w:pPr>
    </w:p>
    <w:p w:rsidR="00220FC7" w:rsidRPr="00A63951" w:rsidRDefault="00220FC7" w:rsidP="00220FC7">
      <w:pPr>
        <w:pStyle w:val="Heading3"/>
        <w:keepLines w:val="0"/>
        <w:numPr>
          <w:ilvl w:val="1"/>
          <w:numId w:val="1"/>
        </w:numPr>
        <w:pBdr>
          <w:top w:val="single" w:sz="6" w:space="0" w:color="31849B" w:themeColor="accent5" w:themeShade="BF"/>
          <w:left w:val="single" w:sz="6" w:space="2" w:color="31849B" w:themeColor="accent5" w:themeShade="BF"/>
        </w:pBdr>
        <w:spacing w:before="0" w:line="300" w:lineRule="auto"/>
        <w:jc w:val="both"/>
        <w:rPr>
          <w:color w:val="4BACC6" w:themeColor="accent5"/>
          <w:lang w:val="en-GB"/>
        </w:rPr>
      </w:pPr>
      <w:bookmarkStart w:id="27" w:name="_Toc460239107"/>
      <w:r w:rsidRPr="00A63951">
        <w:rPr>
          <w:color w:val="4BACC6" w:themeColor="accent5"/>
          <w:lang w:val="en-GB"/>
        </w:rPr>
        <w:t>NEMO ACTIVITIES AS A LICENCABLE ACTIVITY</w:t>
      </w:r>
      <w:bookmarkEnd w:id="27"/>
    </w:p>
    <w:p w:rsidR="00220FC7" w:rsidRDefault="00220FC7" w:rsidP="00220FC7">
      <w:pPr>
        <w:jc w:val="both"/>
        <w:rPr>
          <w:lang w:val="en-GB"/>
        </w:rPr>
      </w:pPr>
    </w:p>
    <w:p w:rsidR="002D758D" w:rsidRDefault="00FE2E4E" w:rsidP="008B10D8">
      <w:pPr>
        <w:jc w:val="both"/>
        <w:rPr>
          <w:lang w:val="en-GB"/>
        </w:rPr>
      </w:pPr>
      <w:r w:rsidRPr="002D758D">
        <w:rPr>
          <w:lang w:val="en-GB"/>
        </w:rPr>
        <w:t>Regulatory</w:t>
      </w:r>
      <w:r w:rsidR="00220FC7" w:rsidRPr="002D758D">
        <w:rPr>
          <w:lang w:val="en-GB"/>
        </w:rPr>
        <w:t xml:space="preserve"> oversight of NEMOs in general </w:t>
      </w:r>
      <w:r w:rsidR="002F1C93" w:rsidRPr="002D758D">
        <w:rPr>
          <w:lang w:val="en-GB"/>
        </w:rPr>
        <w:t xml:space="preserve">is </w:t>
      </w:r>
      <w:r w:rsidRPr="002D758D">
        <w:rPr>
          <w:lang w:val="en-GB"/>
        </w:rPr>
        <w:t xml:space="preserve">currently </w:t>
      </w:r>
      <w:r w:rsidR="00220FC7" w:rsidRPr="002D758D">
        <w:rPr>
          <w:lang w:val="en-GB"/>
        </w:rPr>
        <w:t>limited, given that the carrying on of NEMO activities is not a licensable activity</w:t>
      </w:r>
      <w:r w:rsidR="00FB385F" w:rsidRPr="002D758D">
        <w:rPr>
          <w:lang w:val="en-GB"/>
        </w:rPr>
        <w:t xml:space="preserve"> per se</w:t>
      </w:r>
      <w:r w:rsidR="00220FC7" w:rsidRPr="002D758D">
        <w:rPr>
          <w:lang w:val="en-GB"/>
        </w:rPr>
        <w:t xml:space="preserve"> in</w:t>
      </w:r>
      <w:r w:rsidR="00A80ACD" w:rsidRPr="002D758D">
        <w:rPr>
          <w:lang w:val="en-GB"/>
        </w:rPr>
        <w:t xml:space="preserve"> Ireland or Northern Ireland</w:t>
      </w:r>
      <w:r w:rsidR="00220FC7" w:rsidRPr="002D758D">
        <w:rPr>
          <w:lang w:val="en-GB"/>
        </w:rPr>
        <w:t xml:space="preserve">.  </w:t>
      </w:r>
      <w:r w:rsidR="00A80ACD" w:rsidRPr="002D758D">
        <w:rPr>
          <w:lang w:val="en-GB"/>
        </w:rPr>
        <w:t>The RAs</w:t>
      </w:r>
      <w:r w:rsidR="00220FC7" w:rsidRPr="002D758D">
        <w:rPr>
          <w:lang w:val="en-GB"/>
        </w:rPr>
        <w:t xml:space="preserve"> understand that DECC and Ofgem </w:t>
      </w:r>
      <w:r w:rsidR="002F08F0" w:rsidRPr="002D758D">
        <w:rPr>
          <w:lang w:val="en-GB"/>
        </w:rPr>
        <w:t xml:space="preserve">considered </w:t>
      </w:r>
      <w:r w:rsidR="00220FC7" w:rsidRPr="002D758D">
        <w:rPr>
          <w:lang w:val="en-GB"/>
        </w:rPr>
        <w:t xml:space="preserve">introducing a concept of ‘regulated entity’ which would facilitate NEMO governance without the need of licences. </w:t>
      </w:r>
      <w:r w:rsidR="002F08F0" w:rsidRPr="002D758D">
        <w:rPr>
          <w:lang w:val="en-GB"/>
        </w:rPr>
        <w:t>In the absence of legislation DECC considers that in Grea</w:t>
      </w:r>
      <w:r w:rsidR="007F330A" w:rsidRPr="002D758D">
        <w:rPr>
          <w:lang w:val="en-GB"/>
        </w:rPr>
        <w:t xml:space="preserve">t </w:t>
      </w:r>
      <w:r w:rsidR="007F330A" w:rsidRPr="002D758D">
        <w:rPr>
          <w:lang w:val="en-GB"/>
        </w:rPr>
        <w:lastRenderedPageBreak/>
        <w:t>Britain NEMO</w:t>
      </w:r>
      <w:r w:rsidR="002F08F0" w:rsidRPr="002D758D">
        <w:rPr>
          <w:lang w:val="en-GB"/>
        </w:rPr>
        <w:t xml:space="preserve"> may not be a licensable activity.</w:t>
      </w:r>
      <w:r w:rsidR="00220FC7" w:rsidRPr="002D758D">
        <w:rPr>
          <w:lang w:val="en-GB"/>
        </w:rPr>
        <w:t xml:space="preserve"> </w:t>
      </w:r>
      <w:r w:rsidR="002F08F0" w:rsidRPr="002D758D">
        <w:rPr>
          <w:lang w:val="en-GB"/>
        </w:rPr>
        <w:t xml:space="preserve"> In Ireland and Northern Ireland, t</w:t>
      </w:r>
      <w:r w:rsidR="00220FC7" w:rsidRPr="002D758D">
        <w:rPr>
          <w:lang w:val="en-GB"/>
        </w:rPr>
        <w:t xml:space="preserve">he RAs and the respective Departments may need to consider whether </w:t>
      </w:r>
      <w:r w:rsidR="00C0398A" w:rsidRPr="002D758D">
        <w:rPr>
          <w:lang w:val="en-GB"/>
        </w:rPr>
        <w:t xml:space="preserve">specific </w:t>
      </w:r>
      <w:r w:rsidR="00220FC7" w:rsidRPr="002D758D">
        <w:rPr>
          <w:lang w:val="en-GB"/>
        </w:rPr>
        <w:t>legislation governing NEMOs may be merited in the longer term.</w:t>
      </w:r>
      <w:r w:rsidR="002F08F0" w:rsidRPr="002D758D">
        <w:rPr>
          <w:lang w:val="en-GB"/>
        </w:rPr>
        <w:t xml:space="preserve">  Nonetheless, the market in Great Britain differs from SEM in that the </w:t>
      </w:r>
      <w:r w:rsidR="008A23D9">
        <w:rPr>
          <w:lang w:val="en-GB"/>
        </w:rPr>
        <w:t>NEMO functions</w:t>
      </w:r>
      <w:r w:rsidR="008B10D8">
        <w:rPr>
          <w:rStyle w:val="FootnoteReference"/>
          <w:lang w:val="en-GB"/>
        </w:rPr>
        <w:footnoteReference w:id="5"/>
      </w:r>
      <w:r w:rsidR="000312C5">
        <w:rPr>
          <w:lang w:val="en-GB"/>
        </w:rPr>
        <w:t xml:space="preserve">are </w:t>
      </w:r>
      <w:r w:rsidR="002F08F0" w:rsidRPr="002D758D">
        <w:rPr>
          <w:lang w:val="en-GB"/>
        </w:rPr>
        <w:t xml:space="preserve">performed by unregulated and unlicensed merchant power exchanges. It is therefore both </w:t>
      </w:r>
      <w:r w:rsidR="001D36D6" w:rsidRPr="002D758D">
        <w:rPr>
          <w:lang w:val="en-GB"/>
        </w:rPr>
        <w:t xml:space="preserve">possible </w:t>
      </w:r>
      <w:r w:rsidR="002F08F0" w:rsidRPr="002D758D">
        <w:rPr>
          <w:lang w:val="en-GB"/>
        </w:rPr>
        <w:t>and appropriate that in Ireland and Northern Ireland the market operator function, wh</w:t>
      </w:r>
      <w:r w:rsidR="008C2517" w:rsidRPr="002D758D">
        <w:rPr>
          <w:lang w:val="en-GB"/>
        </w:rPr>
        <w:t>ich is broadly drafted, w</w:t>
      </w:r>
      <w:r w:rsidR="002F08F0" w:rsidRPr="002D758D">
        <w:rPr>
          <w:lang w:val="en-GB"/>
        </w:rPr>
        <w:t xml:space="preserve">ould include NEMO activities.  </w:t>
      </w:r>
    </w:p>
    <w:p w:rsidR="004F0C52" w:rsidRDefault="004F0C52" w:rsidP="008B10D8">
      <w:pPr>
        <w:jc w:val="both"/>
        <w:rPr>
          <w:lang w:val="en-GB"/>
        </w:rPr>
      </w:pPr>
    </w:p>
    <w:p w:rsidR="001C6694" w:rsidRPr="002D758D" w:rsidRDefault="004066F3" w:rsidP="008B10D8">
      <w:pPr>
        <w:pStyle w:val="Heading3"/>
        <w:keepLines w:val="0"/>
        <w:numPr>
          <w:ilvl w:val="1"/>
          <w:numId w:val="1"/>
        </w:numPr>
        <w:pBdr>
          <w:top w:val="single" w:sz="6" w:space="0" w:color="31849B" w:themeColor="accent5" w:themeShade="BF"/>
          <w:left w:val="single" w:sz="6" w:space="2" w:color="31849B" w:themeColor="accent5" w:themeShade="BF"/>
        </w:pBdr>
        <w:spacing w:before="0" w:line="300" w:lineRule="auto"/>
        <w:jc w:val="both"/>
        <w:rPr>
          <w:color w:val="4BACC6" w:themeColor="accent5"/>
          <w:lang w:val="en-GB"/>
        </w:rPr>
      </w:pPr>
      <w:bookmarkStart w:id="28" w:name="_Toc460239108"/>
      <w:r w:rsidRPr="002D758D">
        <w:rPr>
          <w:color w:val="4BACC6" w:themeColor="accent5"/>
          <w:lang w:val="en-GB"/>
        </w:rPr>
        <w:t xml:space="preserve">EXISTING </w:t>
      </w:r>
      <w:r w:rsidR="001C6694" w:rsidRPr="002D758D">
        <w:rPr>
          <w:color w:val="4BACC6" w:themeColor="accent5"/>
          <w:lang w:val="en-GB"/>
        </w:rPr>
        <w:t>LICENCE</w:t>
      </w:r>
      <w:r w:rsidRPr="002D758D">
        <w:rPr>
          <w:color w:val="4BACC6" w:themeColor="accent5"/>
          <w:lang w:val="en-GB"/>
        </w:rPr>
        <w:t xml:space="preserve"> PROVISIONS</w:t>
      </w:r>
      <w:r w:rsidR="00A80ACD" w:rsidRPr="002D758D">
        <w:rPr>
          <w:color w:val="4BACC6" w:themeColor="accent5"/>
          <w:lang w:val="en-GB"/>
        </w:rPr>
        <w:t xml:space="preserve"> AND PROPOSED CHANGES</w:t>
      </w:r>
      <w:bookmarkEnd w:id="28"/>
    </w:p>
    <w:p w:rsidR="00984BC3" w:rsidRDefault="00984BC3" w:rsidP="008B10D8">
      <w:pPr>
        <w:jc w:val="both"/>
        <w:rPr>
          <w:lang w:val="en-GB"/>
        </w:rPr>
      </w:pPr>
    </w:p>
    <w:p w:rsidR="00984BC3" w:rsidRDefault="000B1F6F" w:rsidP="008B10D8">
      <w:pPr>
        <w:jc w:val="both"/>
        <w:rPr>
          <w:lang w:val="en-GB"/>
        </w:rPr>
      </w:pPr>
      <w:r>
        <w:rPr>
          <w:lang w:val="en-GB"/>
        </w:rPr>
        <w:t xml:space="preserve">The ‘Single Electricity Market </w:t>
      </w:r>
      <w:r w:rsidR="0001365C">
        <w:rPr>
          <w:lang w:val="en-GB"/>
        </w:rPr>
        <w:t>O</w:t>
      </w:r>
      <w:r>
        <w:rPr>
          <w:lang w:val="en-GB"/>
        </w:rPr>
        <w:t xml:space="preserve">perator’ is defined in Ireland in the Electricity Regulation (Amendment) (Single Electricity Market) Act 2007 as “the holder </w:t>
      </w:r>
      <w:r w:rsidR="008A5239">
        <w:rPr>
          <w:lang w:val="en-GB"/>
        </w:rPr>
        <w:t>of a licence under section 14(1)</w:t>
      </w:r>
      <w:r>
        <w:rPr>
          <w:lang w:val="en-GB"/>
        </w:rPr>
        <w:t xml:space="preserve">(j) or a person exempted from the requirement to hold such a licence.”  In Northern Ireland, powers are conferred by Article 10(1)(d) of the Electricity (Northern Ireland) Order 1992 to the Authority (the Utility Regulator) to licence any person to act as SEM operator.  </w:t>
      </w:r>
      <w:r w:rsidR="00984BC3">
        <w:rPr>
          <w:lang w:val="en-GB"/>
        </w:rPr>
        <w:t xml:space="preserve"> </w:t>
      </w:r>
    </w:p>
    <w:p w:rsidR="007A362C" w:rsidRDefault="008B10D8" w:rsidP="00A63951">
      <w:pPr>
        <w:jc w:val="both"/>
        <w:rPr>
          <w:lang w:val="en-GB"/>
        </w:rPr>
      </w:pPr>
      <w:r>
        <w:rPr>
          <w:lang w:val="en-GB"/>
        </w:rPr>
        <w:t>A</w:t>
      </w:r>
      <w:r w:rsidR="00984BC3">
        <w:rPr>
          <w:lang w:val="en-GB"/>
        </w:rPr>
        <w:t xml:space="preserve"> Nominated Electricity Market Operator or NEMO</w:t>
      </w:r>
      <w:r>
        <w:rPr>
          <w:lang w:val="en-GB"/>
        </w:rPr>
        <w:t xml:space="preserve"> will be the sole conduit</w:t>
      </w:r>
      <w:r w:rsidR="00984BC3">
        <w:rPr>
          <w:lang w:val="en-GB"/>
        </w:rPr>
        <w:t xml:space="preserve"> through which trades take place in the ex-ante markets, </w:t>
      </w:r>
      <w:r w:rsidR="0063777D">
        <w:rPr>
          <w:lang w:val="en-GB"/>
        </w:rPr>
        <w:t xml:space="preserve">is </w:t>
      </w:r>
      <w:r w:rsidR="00984BC3">
        <w:rPr>
          <w:lang w:val="en-GB"/>
        </w:rPr>
        <w:t xml:space="preserve">a core element of the EU Target Model.  </w:t>
      </w:r>
      <w:r w:rsidR="00984BC3" w:rsidDel="00A80ACD">
        <w:rPr>
          <w:lang w:val="en-GB"/>
        </w:rPr>
        <w:t xml:space="preserve"> </w:t>
      </w:r>
      <w:r w:rsidR="002F1C93">
        <w:rPr>
          <w:lang w:val="en-GB"/>
        </w:rPr>
        <w:t>When the Energy Bill 2016</w:t>
      </w:r>
      <w:r w:rsidR="00A80ACD">
        <w:rPr>
          <w:lang w:val="en-GB"/>
        </w:rPr>
        <w:t xml:space="preserve"> and Energy Regulations Northern Ireland 2016 are</w:t>
      </w:r>
      <w:r w:rsidR="002F1C93">
        <w:rPr>
          <w:lang w:val="en-GB"/>
        </w:rPr>
        <w:t xml:space="preserve"> enacted references to the Single Electricity Market </w:t>
      </w:r>
      <w:r w:rsidR="00A80ACD">
        <w:rPr>
          <w:lang w:val="en-GB"/>
        </w:rPr>
        <w:t xml:space="preserve">and Single Electricity Market operator </w:t>
      </w:r>
      <w:r w:rsidR="002F1C93">
        <w:rPr>
          <w:lang w:val="en-GB"/>
        </w:rPr>
        <w:t>will be understood in the broader context of the SEM to incorporate changes required to implement the EU Target Model</w:t>
      </w:r>
      <w:r w:rsidR="00984BC3">
        <w:rPr>
          <w:lang w:val="en-GB"/>
        </w:rPr>
        <w:t xml:space="preserve"> including the requirement for a NEMO function</w:t>
      </w:r>
      <w:r w:rsidR="002F1C93">
        <w:rPr>
          <w:lang w:val="en-GB"/>
        </w:rPr>
        <w:t xml:space="preserve">. Furthermore any subsequent changes to the Market Operator licences would be viewed in the context of this change.  </w:t>
      </w:r>
    </w:p>
    <w:p w:rsidR="007F330A" w:rsidRDefault="007F330A" w:rsidP="00A63951">
      <w:pPr>
        <w:jc w:val="both"/>
        <w:rPr>
          <w:lang w:val="en-GB"/>
        </w:rPr>
      </w:pPr>
    </w:p>
    <w:p w:rsidR="007A362C" w:rsidRDefault="007A362C" w:rsidP="007A362C">
      <w:pPr>
        <w:pStyle w:val="Heading3"/>
        <w:keepLines w:val="0"/>
        <w:numPr>
          <w:ilvl w:val="1"/>
          <w:numId w:val="1"/>
        </w:numPr>
        <w:pBdr>
          <w:top w:val="single" w:sz="6" w:space="0" w:color="31849B" w:themeColor="accent5" w:themeShade="BF"/>
          <w:left w:val="single" w:sz="6" w:space="2" w:color="31849B" w:themeColor="accent5" w:themeShade="BF"/>
        </w:pBdr>
        <w:spacing w:before="0" w:line="300" w:lineRule="auto"/>
        <w:jc w:val="both"/>
        <w:rPr>
          <w:color w:val="4BACC6" w:themeColor="accent5"/>
          <w:lang w:val="en-GB"/>
        </w:rPr>
      </w:pPr>
      <w:bookmarkStart w:id="29" w:name="_Toc460239109"/>
      <w:r w:rsidRPr="007A362C">
        <w:rPr>
          <w:color w:val="4BACC6" w:themeColor="accent5"/>
          <w:lang w:val="en-GB"/>
        </w:rPr>
        <w:t>PRO</w:t>
      </w:r>
      <w:r w:rsidR="00220FC7">
        <w:rPr>
          <w:color w:val="4BACC6" w:themeColor="accent5"/>
          <w:lang w:val="en-GB"/>
        </w:rPr>
        <w:t>P</w:t>
      </w:r>
      <w:r w:rsidRPr="007A362C">
        <w:rPr>
          <w:color w:val="4BACC6" w:themeColor="accent5"/>
          <w:lang w:val="en-GB"/>
        </w:rPr>
        <w:t xml:space="preserve">OSED </w:t>
      </w:r>
      <w:r>
        <w:rPr>
          <w:color w:val="4BACC6" w:themeColor="accent5"/>
          <w:lang w:val="en-GB"/>
        </w:rPr>
        <w:t xml:space="preserve">MARKET OPERATOR LICENCE </w:t>
      </w:r>
      <w:r w:rsidRPr="007A362C">
        <w:rPr>
          <w:color w:val="4BACC6" w:themeColor="accent5"/>
          <w:lang w:val="en-GB"/>
        </w:rPr>
        <w:t>CHANGE</w:t>
      </w:r>
      <w:bookmarkEnd w:id="29"/>
    </w:p>
    <w:p w:rsidR="007A362C" w:rsidRPr="007A362C" w:rsidRDefault="007A362C" w:rsidP="007A362C">
      <w:pPr>
        <w:rPr>
          <w:lang w:val="en-GB"/>
        </w:rPr>
      </w:pPr>
    </w:p>
    <w:p w:rsidR="008A5239" w:rsidRDefault="007A362C" w:rsidP="00A63951">
      <w:pPr>
        <w:jc w:val="both"/>
        <w:rPr>
          <w:lang w:val="en-GB"/>
        </w:rPr>
      </w:pPr>
      <w:r>
        <w:rPr>
          <w:lang w:val="en-GB"/>
        </w:rPr>
        <w:t xml:space="preserve">The </w:t>
      </w:r>
      <w:r w:rsidR="00B644A6">
        <w:rPr>
          <w:lang w:val="en-GB"/>
        </w:rPr>
        <w:t xml:space="preserve">changes required to the licences should reflect or consider </w:t>
      </w:r>
      <w:r w:rsidR="00B85D4C">
        <w:rPr>
          <w:i/>
          <w:lang w:val="en-GB"/>
        </w:rPr>
        <w:t xml:space="preserve">inter alia </w:t>
      </w:r>
      <w:r w:rsidR="00B644A6">
        <w:rPr>
          <w:lang w:val="en-GB"/>
        </w:rPr>
        <w:t>the following issues:</w:t>
      </w:r>
    </w:p>
    <w:p w:rsidR="00B644A6" w:rsidRDefault="00B644A6" w:rsidP="00A63951">
      <w:pPr>
        <w:pStyle w:val="ListParagraph"/>
        <w:numPr>
          <w:ilvl w:val="0"/>
          <w:numId w:val="5"/>
        </w:numPr>
        <w:jc w:val="both"/>
        <w:rPr>
          <w:lang w:val="en-GB"/>
        </w:rPr>
      </w:pPr>
      <w:r>
        <w:rPr>
          <w:lang w:val="en-GB"/>
        </w:rPr>
        <w:t>EirGrid and SONI must cooperate to provide day-ahead and intra-day market coupling in Ireland and Northern Ireland.  (The Market Operator Agreement may need to be updated to reflect this);</w:t>
      </w:r>
    </w:p>
    <w:p w:rsidR="001D36D6" w:rsidRDefault="001D36D6" w:rsidP="00A63951">
      <w:pPr>
        <w:pStyle w:val="ListParagraph"/>
        <w:numPr>
          <w:ilvl w:val="0"/>
          <w:numId w:val="5"/>
        </w:numPr>
        <w:jc w:val="both"/>
        <w:rPr>
          <w:lang w:val="en-GB"/>
        </w:rPr>
      </w:pPr>
      <w:r>
        <w:rPr>
          <w:lang w:val="en-GB"/>
        </w:rPr>
        <w:t xml:space="preserve">EirGrid and SONI must comply with </w:t>
      </w:r>
      <w:r w:rsidR="00C5630F">
        <w:rPr>
          <w:lang w:val="en-GB"/>
        </w:rPr>
        <w:t xml:space="preserve">the provisions of </w:t>
      </w:r>
      <w:r>
        <w:rPr>
          <w:lang w:val="en-GB"/>
        </w:rPr>
        <w:t>CACM</w:t>
      </w:r>
      <w:r w:rsidR="00C5630F">
        <w:rPr>
          <w:lang w:val="en-GB"/>
        </w:rPr>
        <w:t xml:space="preserve"> with specific reference to Article 6, the criteria under</w:t>
      </w:r>
      <w:r w:rsidR="008A23D9">
        <w:rPr>
          <w:lang w:val="en-GB"/>
        </w:rPr>
        <w:t xml:space="preserve"> </w:t>
      </w:r>
      <w:r w:rsidR="00C5630F">
        <w:rPr>
          <w:lang w:val="en-GB"/>
        </w:rPr>
        <w:t>which EirGrid and SONI were designated</w:t>
      </w:r>
      <w:r>
        <w:rPr>
          <w:lang w:val="en-GB"/>
        </w:rPr>
        <w:t>;</w:t>
      </w:r>
    </w:p>
    <w:p w:rsidR="00B644A6" w:rsidRDefault="00B85D4C" w:rsidP="00A63951">
      <w:pPr>
        <w:pStyle w:val="ListParagraph"/>
        <w:numPr>
          <w:ilvl w:val="0"/>
          <w:numId w:val="5"/>
        </w:numPr>
        <w:jc w:val="both"/>
        <w:rPr>
          <w:lang w:val="en-GB"/>
        </w:rPr>
      </w:pPr>
      <w:r>
        <w:rPr>
          <w:lang w:val="en-GB"/>
        </w:rPr>
        <w:t>Any price control element in keeping with CACM’s Article 4 criteria which may or may not include: cost efficiency; separate accounting; adequate business separation from market participants.</w:t>
      </w:r>
    </w:p>
    <w:p w:rsidR="008A5239" w:rsidRDefault="008A5239" w:rsidP="00A63951">
      <w:pPr>
        <w:jc w:val="both"/>
        <w:rPr>
          <w:lang w:val="en-GB"/>
        </w:rPr>
      </w:pPr>
      <w:r>
        <w:rPr>
          <w:lang w:val="en-GB"/>
        </w:rPr>
        <w:t xml:space="preserve">In Ireland, a licence granted to the ‘Single Electricity Market </w:t>
      </w:r>
      <w:r w:rsidR="00D66226">
        <w:rPr>
          <w:lang w:val="en-GB"/>
        </w:rPr>
        <w:t>O</w:t>
      </w:r>
      <w:r>
        <w:rPr>
          <w:lang w:val="en-GB"/>
        </w:rPr>
        <w:t xml:space="preserve">perator’ may include such terms and conditions relating to participation in and the operation of the Single Electricity Market as the </w:t>
      </w:r>
      <w:r>
        <w:rPr>
          <w:lang w:val="en-GB"/>
        </w:rPr>
        <w:lastRenderedPageBreak/>
        <w:t xml:space="preserve">Commission </w:t>
      </w:r>
      <w:r w:rsidR="00B85D4C">
        <w:rPr>
          <w:lang w:val="en-GB"/>
        </w:rPr>
        <w:t xml:space="preserve">[for Energy Regulation] </w:t>
      </w:r>
      <w:r>
        <w:rPr>
          <w:lang w:val="en-GB"/>
        </w:rPr>
        <w:t>considers necessary or expedient</w:t>
      </w:r>
      <w:r>
        <w:rPr>
          <w:rStyle w:val="FootnoteReference"/>
          <w:lang w:val="en-GB"/>
        </w:rPr>
        <w:footnoteReference w:id="6"/>
      </w:r>
      <w:r>
        <w:rPr>
          <w:lang w:val="en-GB"/>
        </w:rPr>
        <w:t xml:space="preserve">.  </w:t>
      </w:r>
      <w:r w:rsidR="00B85D4C">
        <w:rPr>
          <w:lang w:val="en-GB"/>
        </w:rPr>
        <w:t xml:space="preserve"> </w:t>
      </w:r>
      <w:r w:rsidR="000B0DF5">
        <w:rPr>
          <w:lang w:val="en-GB"/>
        </w:rPr>
        <w:t xml:space="preserve">With the passing of legislative changes through the coming into force of the Energy Act 2016 and the enactment of the Single Wholesale Market (Northern Ireland) Order 2007, changes </w:t>
      </w:r>
      <w:r w:rsidR="00B05D3B">
        <w:rPr>
          <w:lang w:val="en-GB"/>
        </w:rPr>
        <w:t xml:space="preserve">to the SEM definition </w:t>
      </w:r>
      <w:r w:rsidR="00685206">
        <w:rPr>
          <w:lang w:val="en-GB"/>
        </w:rPr>
        <w:t xml:space="preserve">have been introduced </w:t>
      </w:r>
      <w:r w:rsidR="00B05D3B">
        <w:rPr>
          <w:lang w:val="en-GB"/>
        </w:rPr>
        <w:t>on a jurisdictional basis</w:t>
      </w:r>
      <w:r w:rsidR="000B0DF5">
        <w:rPr>
          <w:lang w:val="en-GB"/>
        </w:rPr>
        <w:t>.</w:t>
      </w:r>
      <w:r w:rsidR="00B05D3B">
        <w:rPr>
          <w:lang w:val="en-GB"/>
        </w:rPr>
        <w:t xml:space="preserve"> </w:t>
      </w:r>
      <w:r w:rsidR="000B0DF5">
        <w:rPr>
          <w:lang w:val="en-GB"/>
        </w:rPr>
        <w:t>Therefore t</w:t>
      </w:r>
      <w:r w:rsidR="00B05D3B">
        <w:rPr>
          <w:lang w:val="en-GB"/>
        </w:rPr>
        <w:t>h</w:t>
      </w:r>
      <w:r w:rsidR="000B0DF5">
        <w:rPr>
          <w:lang w:val="en-GB"/>
        </w:rPr>
        <w:t>e relevant</w:t>
      </w:r>
      <w:r w:rsidR="00B05D3B">
        <w:rPr>
          <w:lang w:val="en-GB"/>
        </w:rPr>
        <w:t xml:space="preserve"> provision</w:t>
      </w:r>
      <w:r w:rsidR="000B0DF5">
        <w:rPr>
          <w:lang w:val="en-GB"/>
        </w:rPr>
        <w:t>s</w:t>
      </w:r>
      <w:r w:rsidR="00B05D3B">
        <w:rPr>
          <w:lang w:val="en-GB"/>
        </w:rPr>
        <w:t xml:space="preserve"> in the Electricity Regulation Act 1999 as amended</w:t>
      </w:r>
      <w:r w:rsidR="000B0DF5">
        <w:rPr>
          <w:lang w:val="en-GB"/>
        </w:rPr>
        <w:t xml:space="preserve"> and the Single Wholesale Market (Northern Ireland) Order 2007,</w:t>
      </w:r>
      <w:r w:rsidR="00B05D3B">
        <w:rPr>
          <w:lang w:val="en-GB"/>
        </w:rPr>
        <w:t xml:space="preserve"> </w:t>
      </w:r>
      <w:r w:rsidR="000B0DF5">
        <w:rPr>
          <w:lang w:val="en-GB"/>
        </w:rPr>
        <w:t>will</w:t>
      </w:r>
      <w:r w:rsidR="00B05D3B">
        <w:rPr>
          <w:lang w:val="en-GB"/>
        </w:rPr>
        <w:t xml:space="preserve"> further support that there is a legal basis to amend the Market Operator licences to include aspects of NEMO regulation.</w:t>
      </w:r>
    </w:p>
    <w:p w:rsidR="00DA1DE5" w:rsidRDefault="00DA1DE5" w:rsidP="00A63951">
      <w:pPr>
        <w:jc w:val="both"/>
        <w:rPr>
          <w:lang w:val="en-GB"/>
        </w:rPr>
      </w:pPr>
    </w:p>
    <w:p w:rsidR="007A362C" w:rsidRPr="00220FC7" w:rsidRDefault="00220FC7" w:rsidP="00220FC7">
      <w:pPr>
        <w:pStyle w:val="Heading3"/>
        <w:keepLines w:val="0"/>
        <w:numPr>
          <w:ilvl w:val="1"/>
          <w:numId w:val="1"/>
        </w:numPr>
        <w:pBdr>
          <w:top w:val="single" w:sz="6" w:space="0" w:color="31849B" w:themeColor="accent5" w:themeShade="BF"/>
          <w:left w:val="single" w:sz="6" w:space="2" w:color="31849B" w:themeColor="accent5" w:themeShade="BF"/>
        </w:pBdr>
        <w:spacing w:before="0" w:line="300" w:lineRule="auto"/>
        <w:jc w:val="both"/>
        <w:rPr>
          <w:color w:val="4BACC6" w:themeColor="accent5"/>
          <w:lang w:val="en-GB"/>
        </w:rPr>
      </w:pPr>
      <w:bookmarkStart w:id="30" w:name="_Toc453837019"/>
      <w:bookmarkStart w:id="31" w:name="_Toc460239110"/>
      <w:bookmarkEnd w:id="30"/>
      <w:r w:rsidRPr="00220FC7">
        <w:rPr>
          <w:color w:val="4BACC6" w:themeColor="accent5"/>
          <w:lang w:val="en-GB"/>
        </w:rPr>
        <w:t>RATIONALE BEHIND APPROACH</w:t>
      </w:r>
      <w:bookmarkEnd w:id="31"/>
    </w:p>
    <w:p w:rsidR="00220FC7" w:rsidRDefault="00220FC7" w:rsidP="00220FC7"/>
    <w:p w:rsidR="008A70BA" w:rsidRPr="008A70BA" w:rsidRDefault="008A70BA" w:rsidP="008A70BA">
      <w:pPr>
        <w:rPr>
          <w:lang w:val="en-GB"/>
        </w:rPr>
      </w:pPr>
      <w:r>
        <w:t xml:space="preserve">Existing legislation suggests that the Market Operator is a single entity within each jurisdiction and therefore in the absence of legislation providing for NEMO activities as a specific licensable activity, the licencing of NEMO through a modified Market Operator licence is </w:t>
      </w:r>
      <w:r w:rsidR="0063777D">
        <w:t xml:space="preserve">a </w:t>
      </w:r>
      <w:r>
        <w:t>robust approach which will allow the most effective regulatory oversight.</w:t>
      </w:r>
      <w:r w:rsidRPr="00220FC7" w:rsidDel="005A0622">
        <w:t xml:space="preserve"> </w:t>
      </w:r>
    </w:p>
    <w:p w:rsidR="00E04149" w:rsidRDefault="001D36D6" w:rsidP="008B10D8">
      <w:pPr>
        <w:jc w:val="both"/>
      </w:pPr>
      <w:r>
        <w:t xml:space="preserve">As stated previously, the market in Great Britain differs from SEM in that the market operator function is performed by unregulated and unlicensed merchant power exchanges.   </w:t>
      </w:r>
      <w:r w:rsidR="00D97BD5">
        <w:t>This means that the regulatory solution in GB should not necessarily be paralleled in Ireland and Northern Ireland.  In SEM</w:t>
      </w:r>
      <w:r>
        <w:t xml:space="preserve">, EirGrid </w:t>
      </w:r>
      <w:r w:rsidR="00D97BD5">
        <w:t xml:space="preserve">and SONI, as regulated entities perform the role of Market Operator </w:t>
      </w:r>
      <w:r w:rsidR="00583E91">
        <w:t xml:space="preserve">under a Contractual Joint Venture </w:t>
      </w:r>
      <w:r w:rsidR="00D97BD5">
        <w:t xml:space="preserve">and are licensed accordingly.  Given the passing of </w:t>
      </w:r>
      <w:r w:rsidR="00583E91">
        <w:t>the relevant legislation in both Ireland and Northern Ireland</w:t>
      </w:r>
      <w:r w:rsidR="00D97BD5">
        <w:t>, the NEMO activity will sit as a subset of the activities of SEM carried out by the</w:t>
      </w:r>
      <w:r w:rsidR="00E04149">
        <w:t xml:space="preserve"> Market Operator.  Accordingly, </w:t>
      </w:r>
      <w:r w:rsidR="00D97BD5">
        <w:t>t</w:t>
      </w:r>
      <w:r w:rsidR="00E04149">
        <w:t>he framework for regulating NEMO</w:t>
      </w:r>
      <w:r w:rsidR="00D97BD5">
        <w:t xml:space="preserve"> activity should in part sit within the Market Operator Licence.  </w:t>
      </w:r>
      <w:r w:rsidR="00E04149">
        <w:t xml:space="preserve">If NEMO regulation were only to take place through monitoring of compliance with CACM, this would mean that the sole recourse for the RAs would be a revocation of a designation.  To revoke a designation of a NEMO for a minor infraction </w:t>
      </w:r>
      <w:r w:rsidR="0001365C">
        <w:t xml:space="preserve">(even if CACM allows a six month period for the correction of an infraction) </w:t>
      </w:r>
      <w:r w:rsidR="00E04149">
        <w:t xml:space="preserve">would not seem reasonable, </w:t>
      </w:r>
      <w:r w:rsidR="00E04149" w:rsidRPr="00E04149">
        <w:t>proportionate</w:t>
      </w:r>
      <w:r w:rsidR="00E04149">
        <w:t xml:space="preserve"> or transparent especially where only one NEMO is operating in each jurisdiction.  </w:t>
      </w:r>
      <w:r w:rsidR="008A70BA">
        <w:t>The use of licences to regulate is appropriate in this context.</w:t>
      </w:r>
    </w:p>
    <w:p w:rsidR="004F0C52" w:rsidRDefault="00E04149" w:rsidP="008B10D8">
      <w:pPr>
        <w:jc w:val="both"/>
      </w:pPr>
      <w:r>
        <w:t xml:space="preserve">Incorporating NEMO activities within a Market Operator licence ensures a solid framework for ongoing engagement and a platform for ensuring CACM compliance. </w:t>
      </w:r>
    </w:p>
    <w:p w:rsidR="00E04149" w:rsidRPr="00E04149" w:rsidRDefault="00E04149" w:rsidP="00220FC7"/>
    <w:p w:rsidR="007A362C" w:rsidRPr="007A362C" w:rsidRDefault="007A362C" w:rsidP="007A362C">
      <w:pPr>
        <w:pStyle w:val="Heading3"/>
        <w:keepLines w:val="0"/>
        <w:numPr>
          <w:ilvl w:val="1"/>
          <w:numId w:val="1"/>
        </w:numPr>
        <w:pBdr>
          <w:top w:val="single" w:sz="6" w:space="0" w:color="31849B" w:themeColor="accent5" w:themeShade="BF"/>
          <w:left w:val="single" w:sz="6" w:space="2" w:color="31849B" w:themeColor="accent5" w:themeShade="BF"/>
        </w:pBdr>
        <w:spacing w:before="0" w:line="300" w:lineRule="auto"/>
        <w:jc w:val="both"/>
        <w:rPr>
          <w:color w:val="4BACC6" w:themeColor="accent5"/>
          <w:lang w:val="en-GB"/>
        </w:rPr>
      </w:pPr>
      <w:bookmarkStart w:id="32" w:name="_Toc456286178"/>
      <w:bookmarkStart w:id="33" w:name="_Toc456286179"/>
      <w:bookmarkStart w:id="34" w:name="_Toc460239111"/>
      <w:bookmarkEnd w:id="32"/>
      <w:bookmarkEnd w:id="33"/>
      <w:r w:rsidRPr="007A362C">
        <w:rPr>
          <w:color w:val="4BACC6" w:themeColor="accent5"/>
          <w:lang w:val="en-GB"/>
        </w:rPr>
        <w:t>PRICE REGULATION</w:t>
      </w:r>
      <w:bookmarkEnd w:id="34"/>
      <w:r w:rsidRPr="007A362C">
        <w:rPr>
          <w:color w:val="4BACC6" w:themeColor="accent5"/>
          <w:lang w:val="en-GB"/>
        </w:rPr>
        <w:t xml:space="preserve"> </w:t>
      </w:r>
    </w:p>
    <w:p w:rsidR="007A362C" w:rsidRDefault="007A362C" w:rsidP="007A362C">
      <w:pPr>
        <w:jc w:val="both"/>
        <w:rPr>
          <w:lang w:val="en-GB" w:eastAsia="en-US"/>
        </w:rPr>
      </w:pPr>
    </w:p>
    <w:p w:rsidR="008A70BA" w:rsidRDefault="008A70BA" w:rsidP="007A362C">
      <w:pPr>
        <w:jc w:val="both"/>
        <w:rPr>
          <w:lang w:val="en-GB" w:eastAsia="en-US"/>
        </w:rPr>
      </w:pPr>
      <w:r>
        <w:rPr>
          <w:lang w:val="en-GB" w:eastAsia="en-US"/>
        </w:rPr>
        <w:t>Article 5(1) of CACM expressly requires price regulation, in the case of</w:t>
      </w:r>
      <w:r w:rsidR="004F6EE3">
        <w:rPr>
          <w:lang w:val="en-GB" w:eastAsia="en-US"/>
        </w:rPr>
        <w:t xml:space="preserve"> </w:t>
      </w:r>
      <w:r>
        <w:rPr>
          <w:lang w:val="en-GB" w:eastAsia="en-US"/>
        </w:rPr>
        <w:t>a NEMO holding a legal monopoly in a bidding zone.</w:t>
      </w:r>
      <w:r>
        <w:rPr>
          <w:rStyle w:val="FootnoteReference"/>
          <w:lang w:val="en-GB" w:eastAsia="en-US"/>
        </w:rPr>
        <w:footnoteReference w:id="7"/>
      </w:r>
    </w:p>
    <w:p w:rsidR="004F6EE3" w:rsidRDefault="004F6EE3" w:rsidP="007A362C">
      <w:pPr>
        <w:jc w:val="both"/>
        <w:rPr>
          <w:lang w:val="en-GB" w:eastAsia="en-US"/>
        </w:rPr>
      </w:pPr>
      <w:r>
        <w:rPr>
          <w:lang w:val="en-GB" w:eastAsia="en-US"/>
        </w:rPr>
        <w:lastRenderedPageBreak/>
        <w:t>Article 6(1)(c) of CACM provides that each designated NEMO, whether or not occupying a monopoly position, “shall be cost-efficient with respect to single day-ahead and intraday coupling and shall in its internal accounting keep separate accounts for MCO functions and other activities in order to prevent cross-subsidisation.”</w:t>
      </w:r>
    </w:p>
    <w:p w:rsidR="004F6EE3" w:rsidRDefault="004F6EE3" w:rsidP="007A362C">
      <w:pPr>
        <w:jc w:val="both"/>
        <w:rPr>
          <w:lang w:val="en-GB" w:eastAsia="en-US"/>
        </w:rPr>
      </w:pPr>
      <w:r>
        <w:rPr>
          <w:lang w:val="en-GB" w:eastAsia="en-US"/>
        </w:rPr>
        <w:t>Article 76 of CACM deals specifically with the ability of NEMOs to recover the costs of establishing, amending and operating single day-ahead and intraday coupling and the role of the competent NRAs in agreeing to allow recovery of particular costs in particular, we note that NEMOs are only permitted to recover costs (over and above those borne by TSOs) which are a “reasonable and proportionate”.</w:t>
      </w:r>
    </w:p>
    <w:p w:rsidR="004F6EE3" w:rsidRDefault="004F6EE3" w:rsidP="007A362C">
      <w:pPr>
        <w:jc w:val="both"/>
        <w:rPr>
          <w:lang w:val="en-GB" w:eastAsia="en-US"/>
        </w:rPr>
      </w:pPr>
      <w:r>
        <w:rPr>
          <w:lang w:val="en-GB" w:eastAsia="en-US"/>
        </w:rPr>
        <w:t xml:space="preserve">The RAS are of the view that CACM acknowledges the need for oversight by NRAs of the cost-efficiency of those carrying on NEMO activities, whether or not occupying a monopoly position and that, therefore CACM would not prevent the RAs from taking steps, e.g. through price regulation, to tackle cost-inefficiency to the extent that competition was not a sufficient driver of efficiency.  </w:t>
      </w:r>
    </w:p>
    <w:p w:rsidR="007A362C" w:rsidRDefault="007A362C" w:rsidP="007A362C">
      <w:pPr>
        <w:jc w:val="both"/>
        <w:rPr>
          <w:lang w:val="en-GB" w:eastAsia="en-US"/>
        </w:rPr>
      </w:pPr>
      <w:r>
        <w:rPr>
          <w:lang w:val="en-GB" w:eastAsia="en-US"/>
        </w:rPr>
        <w:t>On</w:t>
      </w:r>
      <w:r w:rsidR="004F6EE3">
        <w:rPr>
          <w:lang w:val="en-GB" w:eastAsia="en-US"/>
        </w:rPr>
        <w:t xml:space="preserve"> an</w:t>
      </w:r>
      <w:r>
        <w:rPr>
          <w:lang w:val="en-GB" w:eastAsia="en-US"/>
        </w:rPr>
        <w:t xml:space="preserve"> initial assessment, the RAs are of the view that any price review would at least initially be carried out on a cost pass through basis.</w:t>
      </w:r>
      <w:r w:rsidR="00B10A1B">
        <w:rPr>
          <w:lang w:val="en-GB" w:eastAsia="en-US"/>
        </w:rPr>
        <w:t xml:space="preserve">  Any approval of costs would be carried out in a transparent way, allowing for the submission of a schedule of costs or such other submission as the RAs deem fit with appropriate consultation informing the decision of the SEM Committee.</w:t>
      </w:r>
    </w:p>
    <w:p w:rsidR="005A0622" w:rsidRDefault="005A0622" w:rsidP="007A362C">
      <w:pPr>
        <w:jc w:val="both"/>
        <w:rPr>
          <w:lang w:val="en-GB" w:eastAsia="en-US"/>
        </w:rPr>
      </w:pPr>
    </w:p>
    <w:p w:rsidR="007A362C" w:rsidRDefault="005A0622" w:rsidP="00DB7093">
      <w:pPr>
        <w:pStyle w:val="Heading3"/>
        <w:keepLines w:val="0"/>
        <w:numPr>
          <w:ilvl w:val="1"/>
          <w:numId w:val="1"/>
        </w:numPr>
        <w:pBdr>
          <w:top w:val="single" w:sz="6" w:space="0" w:color="31849B" w:themeColor="accent5" w:themeShade="BF"/>
          <w:left w:val="single" w:sz="6" w:space="2" w:color="31849B" w:themeColor="accent5" w:themeShade="BF"/>
        </w:pBdr>
        <w:spacing w:before="0" w:line="300" w:lineRule="auto"/>
        <w:jc w:val="both"/>
        <w:rPr>
          <w:color w:val="4BACC6" w:themeColor="accent5"/>
          <w:lang w:val="en-GB"/>
        </w:rPr>
      </w:pPr>
      <w:bookmarkStart w:id="35" w:name="_Toc460239112"/>
      <w:bookmarkStart w:id="36" w:name="_Toc460239113"/>
      <w:bookmarkEnd w:id="35"/>
      <w:r>
        <w:rPr>
          <w:color w:val="4BACC6" w:themeColor="accent5"/>
          <w:lang w:val="en-GB"/>
        </w:rPr>
        <w:t>CONCLUSION</w:t>
      </w:r>
      <w:bookmarkEnd w:id="36"/>
    </w:p>
    <w:p w:rsidR="005A0622" w:rsidRDefault="005A0622" w:rsidP="00DB7093">
      <w:pPr>
        <w:rPr>
          <w:lang w:val="en-GB"/>
        </w:rPr>
      </w:pPr>
    </w:p>
    <w:p w:rsidR="00B10A1B" w:rsidRDefault="00B10A1B" w:rsidP="004E469A">
      <w:pPr>
        <w:jc w:val="both"/>
        <w:rPr>
          <w:lang w:val="en-GB"/>
        </w:rPr>
      </w:pPr>
      <w:r>
        <w:rPr>
          <w:lang w:val="en-GB"/>
        </w:rPr>
        <w:t xml:space="preserve">NEMO regulation through market operator licences </w:t>
      </w:r>
      <w:r w:rsidR="00583E91">
        <w:rPr>
          <w:lang w:val="en-GB"/>
        </w:rPr>
        <w:t xml:space="preserve">will </w:t>
      </w:r>
      <w:r>
        <w:rPr>
          <w:lang w:val="en-GB"/>
        </w:rPr>
        <w:t>ensure a proportionate, transparent approach to regulation which both protects the interests of consumers, and ensures compliance with CACM.</w:t>
      </w:r>
    </w:p>
    <w:p w:rsidR="005A0622" w:rsidRDefault="005A0622" w:rsidP="004E469A">
      <w:pPr>
        <w:jc w:val="both"/>
        <w:rPr>
          <w:lang w:val="en-GB"/>
        </w:rPr>
      </w:pPr>
      <w:r>
        <w:rPr>
          <w:lang w:val="en-GB"/>
        </w:rPr>
        <w:t>The RAs consider that there is no certainty that another NEMO will ever operate in the SEM and accordingly a de facto legal monopoly exists, which needs to be regulated to ensure value for the all-island consumer.</w:t>
      </w:r>
    </w:p>
    <w:p w:rsidR="00B10A1B" w:rsidRDefault="00B10A1B" w:rsidP="00DA1DE5">
      <w:pPr>
        <w:jc w:val="both"/>
        <w:rPr>
          <w:lang w:val="en-GB" w:eastAsia="en-US"/>
        </w:rPr>
      </w:pPr>
      <w:r>
        <w:rPr>
          <w:lang w:val="en-GB" w:eastAsia="en-US"/>
        </w:rPr>
        <w:t>The RA</w:t>
      </w:r>
      <w:r w:rsidR="00583E91">
        <w:rPr>
          <w:lang w:val="en-GB" w:eastAsia="en-US"/>
        </w:rPr>
        <w:t>s</w:t>
      </w:r>
      <w:r>
        <w:rPr>
          <w:lang w:val="en-GB" w:eastAsia="en-US"/>
        </w:rPr>
        <w:t xml:space="preserve"> are of the view that CACM acknowledges the need for oversight by NRAs of the cost-efficiency of those carrying on NEMO activities, whether or not occupying a monopoly position and that, therefore CACM would not prevent the RAs from taking steps, e.g. through price regulation, to tackle cost-inefficiency to the extent that competition was not a sufficient driver of efficiency.  </w:t>
      </w:r>
    </w:p>
    <w:p w:rsidR="004E469A" w:rsidRDefault="004E469A">
      <w:r>
        <w:br w:type="page"/>
      </w:r>
    </w:p>
    <w:p w:rsidR="00B07886" w:rsidRDefault="00B07886"/>
    <w:p w:rsidR="00984BC3" w:rsidRDefault="005A0622" w:rsidP="00DB7093">
      <w:pPr>
        <w:pStyle w:val="Heading1"/>
        <w:keepNext w:val="0"/>
        <w:numPr>
          <w:ilvl w:val="0"/>
          <w:numId w:val="1"/>
        </w:numPr>
        <w:pBdr>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pBdr>
        <w:shd w:val="clear" w:color="auto" w:fill="31849B" w:themeFill="accent5" w:themeFillShade="BF"/>
        <w:spacing w:before="0" w:line="300" w:lineRule="auto"/>
        <w:ind w:left="426" w:hanging="426"/>
        <w:jc w:val="both"/>
        <w:rPr>
          <w:b w:val="0"/>
          <w:lang w:val="en-GB"/>
        </w:rPr>
      </w:pPr>
      <w:bookmarkStart w:id="37" w:name="_Toc460239114"/>
      <w:r>
        <w:rPr>
          <w:lang w:val="en-GB"/>
        </w:rPr>
        <w:t>I-SEM LOCAL AR</w:t>
      </w:r>
      <w:r w:rsidR="00687E6D">
        <w:rPr>
          <w:lang w:val="en-GB"/>
        </w:rPr>
        <w:t xml:space="preserve">RANGEMENTS AND </w:t>
      </w:r>
      <w:r w:rsidR="00583E91">
        <w:rPr>
          <w:lang w:val="en-GB"/>
        </w:rPr>
        <w:t>INTERACTION WITH THE BALANCING MARKET</w:t>
      </w:r>
      <w:bookmarkEnd w:id="37"/>
      <w:r>
        <w:rPr>
          <w:lang w:val="en-GB"/>
        </w:rPr>
        <w:t xml:space="preserve"> </w:t>
      </w:r>
    </w:p>
    <w:p w:rsidR="00687E6D" w:rsidRDefault="00687E6D" w:rsidP="00984BC3">
      <w:pPr>
        <w:jc w:val="both"/>
        <w:rPr>
          <w:lang w:val="en-GB"/>
        </w:rPr>
      </w:pPr>
    </w:p>
    <w:p w:rsidR="00984BC3" w:rsidRPr="00DB7093" w:rsidRDefault="00184307" w:rsidP="00984BC3">
      <w:pPr>
        <w:jc w:val="both"/>
        <w:rPr>
          <w:lang w:val="en-GB"/>
        </w:rPr>
      </w:pPr>
      <w:r>
        <w:rPr>
          <w:lang w:val="en-GB"/>
        </w:rPr>
        <w:t xml:space="preserve">The RAs consider that it is </w:t>
      </w:r>
      <w:r w:rsidR="0001365C">
        <w:rPr>
          <w:lang w:val="en-GB"/>
        </w:rPr>
        <w:t xml:space="preserve">necessary </w:t>
      </w:r>
      <w:r>
        <w:rPr>
          <w:lang w:val="en-GB"/>
        </w:rPr>
        <w:t>that any NEMOs operat</w:t>
      </w:r>
      <w:r w:rsidR="00B10A1B">
        <w:rPr>
          <w:lang w:val="en-GB"/>
        </w:rPr>
        <w:t>ing</w:t>
      </w:r>
      <w:r>
        <w:rPr>
          <w:lang w:val="en-GB"/>
        </w:rPr>
        <w:t xml:space="preserve"> in the market would be aware of any local arrangements unique to the SEM.  To ensure the efficient operating of the market, the RAs propose any such special arrangements necessary to ensure the efficient operation of the market be contained within the market rules, i.e. the Trading and Settlement Code.  Furthermore, that any NEMOs </w:t>
      </w:r>
      <w:r w:rsidR="00B10A1B">
        <w:rPr>
          <w:lang w:val="en-GB"/>
        </w:rPr>
        <w:t xml:space="preserve">operating </w:t>
      </w:r>
      <w:r>
        <w:rPr>
          <w:lang w:val="en-GB"/>
        </w:rPr>
        <w:t xml:space="preserve">in SEM must be Parties to the Trading and Settlement Code.    </w:t>
      </w:r>
    </w:p>
    <w:p w:rsidR="00984BC3" w:rsidRDefault="00984BC3" w:rsidP="00984BC3">
      <w:pPr>
        <w:jc w:val="both"/>
        <w:rPr>
          <w:lang w:val="en-GB"/>
        </w:rPr>
      </w:pPr>
      <w:r>
        <w:rPr>
          <w:lang w:val="en-GB"/>
        </w:rPr>
        <w:t>In the event that (an) additional NEMO(s) seek to operate in the market a hub would have to be designed, built and systemised.  It is not clear whether this is feasible in advance of Go-Live.  The project team is engaged in discussions with the TSOs on this issue.  It would also be important that any NEMO proposing to operate in the market would be made aware of any local arrangements unique to the SEM</w:t>
      </w:r>
      <w:r w:rsidR="00846B65">
        <w:rPr>
          <w:lang w:val="en-GB"/>
        </w:rPr>
        <w:t>.</w:t>
      </w:r>
    </w:p>
    <w:p w:rsidR="00DA1DE5" w:rsidRDefault="00DA1DE5" w:rsidP="00984BC3">
      <w:pPr>
        <w:jc w:val="both"/>
        <w:rPr>
          <w:b/>
          <w:lang w:val="en-GB"/>
        </w:rPr>
      </w:pPr>
    </w:p>
    <w:p w:rsidR="00984BC3" w:rsidRPr="003713A5" w:rsidRDefault="00984BC3" w:rsidP="00DB7093">
      <w:pPr>
        <w:pStyle w:val="Heading3"/>
        <w:keepLines w:val="0"/>
        <w:numPr>
          <w:ilvl w:val="1"/>
          <w:numId w:val="1"/>
        </w:numPr>
        <w:pBdr>
          <w:top w:val="single" w:sz="6" w:space="0" w:color="31849B" w:themeColor="accent5" w:themeShade="BF"/>
          <w:left w:val="single" w:sz="6" w:space="2" w:color="31849B" w:themeColor="accent5" w:themeShade="BF"/>
        </w:pBdr>
        <w:spacing w:before="0" w:line="300" w:lineRule="auto"/>
        <w:jc w:val="both"/>
        <w:rPr>
          <w:color w:val="4BACC6" w:themeColor="accent5"/>
          <w:lang w:val="en-GB"/>
        </w:rPr>
      </w:pPr>
      <w:bookmarkStart w:id="38" w:name="_Toc460239115"/>
      <w:r w:rsidRPr="003713A5">
        <w:rPr>
          <w:color w:val="4BACC6" w:themeColor="accent5"/>
          <w:lang w:val="en-GB"/>
        </w:rPr>
        <w:t>I-SEM LOCAL ARRANGEMENTS</w:t>
      </w:r>
      <w:bookmarkEnd w:id="38"/>
      <w:r w:rsidRPr="003713A5">
        <w:rPr>
          <w:color w:val="4BACC6" w:themeColor="accent5"/>
          <w:lang w:val="en-GB"/>
        </w:rPr>
        <w:t xml:space="preserve"> </w:t>
      </w:r>
    </w:p>
    <w:p w:rsidR="00984BC3" w:rsidRDefault="00984BC3" w:rsidP="00984BC3">
      <w:pPr>
        <w:jc w:val="both"/>
      </w:pPr>
    </w:p>
    <w:p w:rsidR="00984BC3" w:rsidRDefault="00984BC3" w:rsidP="00984BC3">
      <w:pPr>
        <w:jc w:val="both"/>
      </w:pPr>
      <w:r>
        <w:t>A number of local requirements will be applicable to NEMOs operating in the SEM market. Specifically these local requirements consist of:</w:t>
      </w:r>
    </w:p>
    <w:p w:rsidR="00184307" w:rsidRDefault="00184307" w:rsidP="00984BC3">
      <w:pPr>
        <w:pStyle w:val="ListParagraph"/>
        <w:widowControl w:val="0"/>
        <w:numPr>
          <w:ilvl w:val="0"/>
          <w:numId w:val="9"/>
        </w:numPr>
        <w:jc w:val="both"/>
      </w:pPr>
      <w:r>
        <w:t>Dual currency requirement</w:t>
      </w:r>
      <w:r w:rsidR="00B10A1B">
        <w:rPr>
          <w:rStyle w:val="FootnoteReference"/>
        </w:rPr>
        <w:footnoteReference w:id="8"/>
      </w:r>
    </w:p>
    <w:p w:rsidR="00984BC3" w:rsidRDefault="00984BC3" w:rsidP="00984BC3">
      <w:pPr>
        <w:pStyle w:val="ListParagraph"/>
        <w:widowControl w:val="0"/>
        <w:numPr>
          <w:ilvl w:val="0"/>
          <w:numId w:val="9"/>
        </w:numPr>
        <w:jc w:val="both"/>
      </w:pPr>
      <w:r>
        <w:t xml:space="preserve">Data provision that may require NEMOs to provide ex-ante trade information for the purposes of calculating compensation for curtailment </w:t>
      </w:r>
    </w:p>
    <w:p w:rsidR="00984BC3" w:rsidRDefault="00984BC3" w:rsidP="00984BC3">
      <w:pPr>
        <w:pStyle w:val="ListParagraph"/>
        <w:widowControl w:val="0"/>
        <w:numPr>
          <w:ilvl w:val="0"/>
          <w:numId w:val="9"/>
        </w:numPr>
        <w:jc w:val="both"/>
      </w:pPr>
      <w:r>
        <w:t xml:space="preserve">Data provision that may require NEMOs to provide ex-ante trade information for the purposes of settlement of Reliability Options </w:t>
      </w:r>
    </w:p>
    <w:p w:rsidR="00984BC3" w:rsidRDefault="00984BC3" w:rsidP="00984BC3">
      <w:pPr>
        <w:pStyle w:val="ListParagraph"/>
        <w:widowControl w:val="0"/>
        <w:numPr>
          <w:ilvl w:val="0"/>
          <w:numId w:val="9"/>
        </w:numPr>
        <w:jc w:val="both"/>
      </w:pPr>
      <w:r>
        <w:t>D</w:t>
      </w:r>
      <w:r w:rsidRPr="00A63951">
        <w:t>ata provision</w:t>
      </w:r>
      <w:r>
        <w:t xml:space="preserve"> requirements on NEMOs</w:t>
      </w:r>
      <w:r w:rsidRPr="00A63951">
        <w:t xml:space="preserve"> </w:t>
      </w:r>
      <w:r>
        <w:t xml:space="preserve">relating to the </w:t>
      </w:r>
      <w:r w:rsidRPr="00A63951">
        <w:t>linking of Final Physical Notifications to ex-ante trades.</w:t>
      </w:r>
    </w:p>
    <w:p w:rsidR="00984BC3" w:rsidRDefault="00984BC3" w:rsidP="00984BC3">
      <w:pPr>
        <w:jc w:val="both"/>
      </w:pPr>
      <w:r>
        <w:t>A description of I-SEM local requirements relating to the NEMO markets is provided below followed by a consideration of where such arrangements might best be accommodated.</w:t>
      </w:r>
    </w:p>
    <w:p w:rsidR="00984BC3" w:rsidRDefault="00984BC3" w:rsidP="00984BC3">
      <w:pPr>
        <w:jc w:val="both"/>
      </w:pPr>
    </w:p>
    <w:p w:rsidR="00984BC3" w:rsidRDefault="00984BC3" w:rsidP="00DB7093">
      <w:pPr>
        <w:pStyle w:val="Heading3"/>
        <w:keepLines w:val="0"/>
        <w:numPr>
          <w:ilvl w:val="1"/>
          <w:numId w:val="1"/>
        </w:numPr>
        <w:pBdr>
          <w:top w:val="single" w:sz="6" w:space="0" w:color="31849B" w:themeColor="accent5" w:themeShade="BF"/>
          <w:left w:val="single" w:sz="6" w:space="2" w:color="31849B" w:themeColor="accent5" w:themeShade="BF"/>
        </w:pBdr>
        <w:spacing w:before="0" w:line="300" w:lineRule="auto"/>
        <w:jc w:val="both"/>
        <w:rPr>
          <w:color w:val="4BACC6" w:themeColor="accent5"/>
          <w:lang w:val="en-GB"/>
        </w:rPr>
      </w:pPr>
      <w:bookmarkStart w:id="39" w:name="_Toc460239116"/>
      <w:r>
        <w:rPr>
          <w:color w:val="4BACC6" w:themeColor="accent5"/>
          <w:lang w:val="en-GB"/>
        </w:rPr>
        <w:t>THE PROVISION OF SPECIFIC DAY AHEAD PRODUCTS AND INTRA-DAY SOLUTIONS</w:t>
      </w:r>
      <w:bookmarkEnd w:id="39"/>
      <w:r>
        <w:rPr>
          <w:color w:val="4BACC6" w:themeColor="accent5"/>
          <w:lang w:val="en-GB"/>
        </w:rPr>
        <w:t xml:space="preserve"> </w:t>
      </w:r>
    </w:p>
    <w:p w:rsidR="00984BC3" w:rsidRDefault="00984BC3" w:rsidP="00984BC3">
      <w:pPr>
        <w:jc w:val="both"/>
        <w:rPr>
          <w:lang w:val="en-GB"/>
        </w:rPr>
      </w:pPr>
    </w:p>
    <w:p w:rsidR="00984BC3" w:rsidRDefault="00984BC3" w:rsidP="00984BC3">
      <w:pPr>
        <w:jc w:val="both"/>
      </w:pPr>
      <w:r>
        <w:t>Given the high importance that the I-SEM HLD places on the DA markets, the capacity of the EUPHEMIA algorithm to produce feasible market schedules is critical to the successful operation of the I-SEM. In this regard, t</w:t>
      </w:r>
      <w:r w:rsidRPr="00A63951">
        <w:t xml:space="preserve">he RAs </w:t>
      </w:r>
      <w:r>
        <w:t xml:space="preserve">have </w:t>
      </w:r>
      <w:r w:rsidRPr="00A63951">
        <w:t xml:space="preserve">requested that </w:t>
      </w:r>
      <w:r w:rsidR="00D66226">
        <w:t>the Market Operator (</w:t>
      </w:r>
      <w:r w:rsidRPr="00A63951">
        <w:t>SEMO</w:t>
      </w:r>
      <w:r w:rsidR="00D66226">
        <w:t>)</w:t>
      </w:r>
      <w:r w:rsidRPr="00A63951">
        <w:t xml:space="preserve"> investigate the </w:t>
      </w:r>
      <w:r w:rsidRPr="00A63951">
        <w:lastRenderedPageBreak/>
        <w:t xml:space="preserve">feasibility, quality and performance of EUPHEMIA for I-SEM.   SEMO has therefore been conducting a series of EUPHEMIA trials in conjunction with an industry working group.  The goal of the trialling </w:t>
      </w:r>
      <w:r w:rsidR="00A249FA">
        <w:t xml:space="preserve">was to </w:t>
      </w:r>
      <w:r w:rsidRPr="00A63951">
        <w:t xml:space="preserve">develop SEMO’s understanding of the feasibility, quality and performance of EUPHEMIA and to inform on its best use for I-SEM.  </w:t>
      </w:r>
    </w:p>
    <w:p w:rsidR="00984BC3" w:rsidRPr="00A63951" w:rsidRDefault="00984BC3" w:rsidP="00984BC3">
      <w:pPr>
        <w:jc w:val="both"/>
        <w:rPr>
          <w:lang w:val="en-GB"/>
        </w:rPr>
      </w:pPr>
      <w:r w:rsidRPr="00A63951">
        <w:t xml:space="preserve">A Recommendation Report </w:t>
      </w:r>
      <w:r>
        <w:t xml:space="preserve">has been </w:t>
      </w:r>
      <w:r w:rsidRPr="00A63951">
        <w:t xml:space="preserve">published based on the results of </w:t>
      </w:r>
      <w:r w:rsidR="00A249FA">
        <w:t xml:space="preserve">the </w:t>
      </w:r>
      <w:r w:rsidRPr="00A63951">
        <w:t xml:space="preserve">trialling.  </w:t>
      </w:r>
      <w:r w:rsidR="00A249FA">
        <w:t>This Recommendation Report has now been submitted to the Price Coupling of the Regions (PCR) for final decision.</w:t>
      </w:r>
      <w:r w:rsidR="00231AB5">
        <w:rPr>
          <w:rStyle w:val="FootnoteReference"/>
        </w:rPr>
        <w:footnoteReference w:id="9"/>
      </w:r>
      <w:r w:rsidR="00A249FA">
        <w:t xml:space="preserve">  </w:t>
      </w:r>
      <w:r w:rsidR="00231AB5">
        <w:t>It should be noted that although certain bid types may be preferred in SEM, that the Trading and Settlement Code will  not mandate the offering of specific bid types by NEMOs.</w:t>
      </w:r>
    </w:p>
    <w:p w:rsidR="00DA1DE5" w:rsidRDefault="00DA1DE5" w:rsidP="00984BC3">
      <w:pPr>
        <w:jc w:val="both"/>
      </w:pPr>
    </w:p>
    <w:p w:rsidR="00984BC3" w:rsidRDefault="00984BC3" w:rsidP="00DB7093">
      <w:pPr>
        <w:pStyle w:val="Heading3"/>
        <w:keepLines w:val="0"/>
        <w:numPr>
          <w:ilvl w:val="1"/>
          <w:numId w:val="1"/>
        </w:numPr>
        <w:pBdr>
          <w:top w:val="single" w:sz="6" w:space="0" w:color="31849B" w:themeColor="accent5" w:themeShade="BF"/>
          <w:left w:val="single" w:sz="6" w:space="2" w:color="31849B" w:themeColor="accent5" w:themeShade="BF"/>
        </w:pBdr>
        <w:spacing w:before="0" w:line="300" w:lineRule="auto"/>
        <w:jc w:val="both"/>
        <w:rPr>
          <w:color w:val="4BACC6" w:themeColor="accent5"/>
          <w:lang w:val="en-GB"/>
        </w:rPr>
      </w:pPr>
      <w:bookmarkStart w:id="40" w:name="_Toc460239117"/>
      <w:r w:rsidRPr="00242E4D">
        <w:rPr>
          <w:color w:val="4BACC6" w:themeColor="accent5"/>
          <w:lang w:val="en-GB"/>
        </w:rPr>
        <w:t>D</w:t>
      </w:r>
      <w:r>
        <w:rPr>
          <w:color w:val="4BACC6" w:themeColor="accent5"/>
          <w:lang w:val="en-GB"/>
        </w:rPr>
        <w:t>ATA PROVISION REQUIREMENTS</w:t>
      </w:r>
      <w:bookmarkEnd w:id="40"/>
      <w:r>
        <w:rPr>
          <w:color w:val="4BACC6" w:themeColor="accent5"/>
          <w:lang w:val="en-GB"/>
        </w:rPr>
        <w:t xml:space="preserve"> </w:t>
      </w:r>
    </w:p>
    <w:p w:rsidR="00984BC3" w:rsidRPr="00242E4D" w:rsidRDefault="00984BC3" w:rsidP="00984BC3">
      <w:pPr>
        <w:jc w:val="both"/>
        <w:rPr>
          <w:lang w:val="en-GB"/>
        </w:rPr>
      </w:pPr>
    </w:p>
    <w:p w:rsidR="00984BC3" w:rsidRPr="00A63951" w:rsidRDefault="00984BC3" w:rsidP="00984BC3">
      <w:pPr>
        <w:jc w:val="both"/>
      </w:pPr>
      <w:r w:rsidRPr="00A63951">
        <w:t>In terms of data provision, there are t</w:t>
      </w:r>
      <w:r>
        <w:t>hree</w:t>
      </w:r>
      <w:r w:rsidRPr="00A63951">
        <w:t xml:space="preserve"> main </w:t>
      </w:r>
      <w:r>
        <w:t>‘</w:t>
      </w:r>
      <w:r w:rsidRPr="00A63951">
        <w:t xml:space="preserve">I-SEM </w:t>
      </w:r>
      <w:r>
        <w:t>local requirements’</w:t>
      </w:r>
      <w:r w:rsidRPr="00A63951">
        <w:t xml:space="preserve"> that may place obligations on NEMOs operating in I-SEM that may not be placed on NEMOs operating in other markets.</w:t>
      </w:r>
    </w:p>
    <w:p w:rsidR="00984BC3" w:rsidRPr="00A63951" w:rsidRDefault="00984BC3" w:rsidP="00984BC3">
      <w:pPr>
        <w:jc w:val="both"/>
      </w:pPr>
      <w:r w:rsidRPr="00A63951">
        <w:t xml:space="preserve">The </w:t>
      </w:r>
      <w:r>
        <w:t xml:space="preserve">first of these relates to </w:t>
      </w:r>
      <w:r w:rsidRPr="00A63951">
        <w:t>curtailment.  In the ETA Building Blocks Detailed Design decision the SEM Committee decided that cash out and post processing is the optimal way to implement its previous decision on compensation for curtailment in I-SEM from 2018.  This means that a generator in a curtailment event will be initially cashed out at the imbalance price.  Then a post processing stage will recoup any extra revenues earned by the generator where the prices in the ex-ante markets were higher than the balancing market prices, and will “make whole” any losses made by the generator where prices in the ex-ante markets were lower than the balancing market prices. It is yet to be decided whether an ex-ante “reference price” will be used in this post processing or whether any NEMO operating in I-SEM shall have to provide data on all individual ex-ante trades (price, quantity and timestamp) to the Imbalance Settlement Operator.</w:t>
      </w:r>
    </w:p>
    <w:p w:rsidR="00984BC3" w:rsidRPr="00A63951" w:rsidRDefault="00984BC3" w:rsidP="00984BC3">
      <w:pPr>
        <w:jc w:val="both"/>
      </w:pPr>
      <w:r w:rsidRPr="00A63951">
        <w:t xml:space="preserve">The second </w:t>
      </w:r>
      <w:r>
        <w:t xml:space="preserve">is </w:t>
      </w:r>
      <w:r w:rsidRPr="00A63951">
        <w:t>the linking of Final Physical Notifications to ex-ante trades. In the ETA Markets Detailed Design decision the SEM Committee decided that a generator unit’s Physical Notification must be linked to its ex-ante trades at gate closure</w:t>
      </w:r>
      <w:r w:rsidR="00B10A1B">
        <w:t xml:space="preserve"> through the Trading and Settlement Code</w:t>
      </w:r>
      <w:r w:rsidR="00BF2572">
        <w:t>.</w:t>
      </w:r>
    </w:p>
    <w:p w:rsidR="00984BC3" w:rsidRDefault="00984BC3" w:rsidP="00984BC3">
      <w:pPr>
        <w:jc w:val="both"/>
      </w:pPr>
      <w:r w:rsidRPr="00FB3F08">
        <w:t>The third is the provision of ex-ante trade information for the purposes of settlement of Reliability Options</w:t>
      </w:r>
      <w:r>
        <w:t xml:space="preserve"> against volumes traded in the DA and ID markets. In CRM Detailed Design Decision 1 the SEM Committee decided that a multiple reference prices would apply to Reliability Options which will likely entail similar requirements on NEMO operating in the ISEM as the compensation for curtailment calculation referred to above.</w:t>
      </w:r>
    </w:p>
    <w:p w:rsidR="006240F3" w:rsidRDefault="006240F3" w:rsidP="00984BC3">
      <w:pPr>
        <w:jc w:val="both"/>
      </w:pPr>
    </w:p>
    <w:p w:rsidR="004E469A" w:rsidRDefault="004E469A" w:rsidP="00984BC3">
      <w:pPr>
        <w:jc w:val="both"/>
      </w:pPr>
    </w:p>
    <w:p w:rsidR="004E469A" w:rsidRDefault="004E469A" w:rsidP="00984BC3">
      <w:pPr>
        <w:jc w:val="both"/>
      </w:pPr>
    </w:p>
    <w:p w:rsidR="005A0622" w:rsidRPr="00DB7093" w:rsidRDefault="005A0622" w:rsidP="00DB7093">
      <w:pPr>
        <w:pStyle w:val="Heading3"/>
        <w:keepLines w:val="0"/>
        <w:numPr>
          <w:ilvl w:val="1"/>
          <w:numId w:val="1"/>
        </w:numPr>
        <w:pBdr>
          <w:top w:val="single" w:sz="6" w:space="0" w:color="31849B" w:themeColor="accent5" w:themeShade="BF"/>
          <w:left w:val="single" w:sz="6" w:space="2" w:color="31849B" w:themeColor="accent5" w:themeShade="BF"/>
        </w:pBdr>
        <w:spacing w:before="0" w:line="300" w:lineRule="auto"/>
        <w:jc w:val="both"/>
        <w:rPr>
          <w:color w:val="4BACC6" w:themeColor="accent5"/>
          <w:lang w:val="en-GB"/>
        </w:rPr>
      </w:pPr>
      <w:bookmarkStart w:id="41" w:name="_Toc460239118"/>
      <w:r w:rsidRPr="00DB7093">
        <w:rPr>
          <w:color w:val="4BACC6" w:themeColor="accent5"/>
          <w:lang w:val="en-GB"/>
        </w:rPr>
        <w:lastRenderedPageBreak/>
        <w:t>INTERACTION WITH THE BALANCING MARKET</w:t>
      </w:r>
      <w:bookmarkEnd w:id="41"/>
    </w:p>
    <w:p w:rsidR="005A0622" w:rsidRDefault="005A0622" w:rsidP="00984BC3">
      <w:pPr>
        <w:jc w:val="both"/>
      </w:pPr>
    </w:p>
    <w:p w:rsidR="00687E6D" w:rsidRDefault="005A0622" w:rsidP="005A0622">
      <w:pPr>
        <w:jc w:val="both"/>
      </w:pPr>
      <w:r>
        <w:t>In the previous section, ‘</w:t>
      </w:r>
      <w:r w:rsidRPr="00A63951">
        <w:t xml:space="preserve">I-SEM </w:t>
      </w:r>
      <w:r>
        <w:t>local requirements’</w:t>
      </w:r>
      <w:r w:rsidRPr="00A63951">
        <w:t xml:space="preserve"> that may place obligations on NEMOs operating in I-SEM that may not be placed on N</w:t>
      </w:r>
      <w:r w:rsidR="00F569EE">
        <w:t xml:space="preserve">EMOs operating in other markets were outlined.  The RAs are of the view that the requirement to provide data and other I-SEM local arrangements which may create obligations on NEMOs would be best captured in the Trading and Settlement Code, a multi-party agreement between Parties to the Code who are bound by the Trading and </w:t>
      </w:r>
      <w:r w:rsidR="00D66226">
        <w:t>S</w:t>
      </w:r>
      <w:r w:rsidR="00F569EE">
        <w:t xml:space="preserve">ettlement Code and party to its Framework Agreement.  </w:t>
      </w:r>
    </w:p>
    <w:p w:rsidR="00687E6D" w:rsidRDefault="00687E6D">
      <w:r>
        <w:br w:type="page"/>
      </w:r>
    </w:p>
    <w:p w:rsidR="000B1F6F" w:rsidRDefault="000B1F6F" w:rsidP="00A63951">
      <w:pPr>
        <w:pStyle w:val="Heading1"/>
        <w:keepNext w:val="0"/>
        <w:numPr>
          <w:ilvl w:val="0"/>
          <w:numId w:val="1"/>
        </w:numPr>
        <w:pBdr>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pBdr>
        <w:shd w:val="clear" w:color="auto" w:fill="31849B" w:themeFill="accent5" w:themeFillShade="BF"/>
        <w:spacing w:before="0" w:line="300" w:lineRule="auto"/>
        <w:ind w:left="426" w:hanging="426"/>
        <w:jc w:val="both"/>
        <w:rPr>
          <w:lang w:val="en-GB"/>
        </w:rPr>
      </w:pPr>
      <w:bookmarkStart w:id="42" w:name="_Toc460239119"/>
      <w:bookmarkStart w:id="43" w:name="_Toc456286188"/>
      <w:bookmarkStart w:id="44" w:name="_Toc453837021"/>
      <w:bookmarkStart w:id="45" w:name="_Toc453837022"/>
      <w:bookmarkStart w:id="46" w:name="_Toc445795168"/>
      <w:bookmarkStart w:id="47" w:name="_Toc445795780"/>
      <w:bookmarkStart w:id="48" w:name="_Toc456286189"/>
      <w:bookmarkStart w:id="49" w:name="_Toc456286190"/>
      <w:bookmarkStart w:id="50" w:name="_Toc456286191"/>
      <w:bookmarkStart w:id="51" w:name="_Toc456286192"/>
      <w:bookmarkStart w:id="52" w:name="_Toc456286193"/>
      <w:bookmarkStart w:id="53" w:name="_Toc456286195"/>
      <w:bookmarkStart w:id="54" w:name="_Toc456286196"/>
      <w:bookmarkStart w:id="55" w:name="_Toc456286197"/>
      <w:bookmarkStart w:id="56" w:name="_Toc460239120"/>
      <w:bookmarkEnd w:id="42"/>
      <w:bookmarkEnd w:id="43"/>
      <w:bookmarkEnd w:id="44"/>
      <w:bookmarkEnd w:id="45"/>
      <w:bookmarkEnd w:id="46"/>
      <w:bookmarkEnd w:id="47"/>
      <w:bookmarkEnd w:id="48"/>
      <w:bookmarkEnd w:id="49"/>
      <w:bookmarkEnd w:id="50"/>
      <w:bookmarkEnd w:id="51"/>
      <w:bookmarkEnd w:id="52"/>
      <w:bookmarkEnd w:id="53"/>
      <w:bookmarkEnd w:id="54"/>
      <w:bookmarkEnd w:id="55"/>
      <w:r>
        <w:rPr>
          <w:lang w:val="en-GB"/>
        </w:rPr>
        <w:lastRenderedPageBreak/>
        <w:t>NEMO REGULATION THROUGH THE TRADING AND SETTLEMENT CODE</w:t>
      </w:r>
      <w:bookmarkEnd w:id="56"/>
    </w:p>
    <w:p w:rsidR="00F023FF" w:rsidRPr="00F023FF" w:rsidRDefault="00F023FF" w:rsidP="00F023FF">
      <w:pPr>
        <w:pStyle w:val="Heading3"/>
        <w:keepLines w:val="0"/>
        <w:pBdr>
          <w:top w:val="single" w:sz="6" w:space="0" w:color="31849B" w:themeColor="accent5" w:themeShade="BF"/>
          <w:left w:val="single" w:sz="6" w:space="2" w:color="31849B" w:themeColor="accent5" w:themeShade="BF"/>
        </w:pBdr>
        <w:spacing w:before="0" w:line="300" w:lineRule="auto"/>
        <w:ind w:left="860"/>
        <w:jc w:val="both"/>
        <w:rPr>
          <w:color w:val="4BACC6" w:themeColor="accent5"/>
          <w:lang w:val="en-GB"/>
        </w:rPr>
      </w:pPr>
    </w:p>
    <w:p w:rsidR="000B1F6F" w:rsidRPr="00F023FF" w:rsidRDefault="00687E6D" w:rsidP="00F023FF">
      <w:pPr>
        <w:pStyle w:val="Heading3"/>
        <w:keepLines w:val="0"/>
        <w:numPr>
          <w:ilvl w:val="1"/>
          <w:numId w:val="1"/>
        </w:numPr>
        <w:pBdr>
          <w:top w:val="single" w:sz="6" w:space="0" w:color="31849B" w:themeColor="accent5" w:themeShade="BF"/>
          <w:left w:val="single" w:sz="6" w:space="2" w:color="31849B" w:themeColor="accent5" w:themeShade="BF"/>
        </w:pBdr>
        <w:spacing w:before="0" w:line="300" w:lineRule="auto"/>
        <w:jc w:val="both"/>
        <w:rPr>
          <w:color w:val="4BACC6" w:themeColor="accent5"/>
          <w:lang w:val="en-GB"/>
        </w:rPr>
      </w:pPr>
      <w:bookmarkStart w:id="57" w:name="_Toc460239121"/>
      <w:r>
        <w:rPr>
          <w:color w:val="4BACC6" w:themeColor="accent5"/>
          <w:lang w:val="en-GB"/>
        </w:rPr>
        <w:t>RATIONALE BEHIND APPROACH</w:t>
      </w:r>
      <w:bookmarkEnd w:id="57"/>
      <w:r>
        <w:rPr>
          <w:color w:val="4BACC6" w:themeColor="accent5"/>
          <w:lang w:val="en-GB"/>
        </w:rPr>
        <w:t xml:space="preserve"> </w:t>
      </w:r>
    </w:p>
    <w:p w:rsidR="00F023FF" w:rsidRDefault="00F023FF" w:rsidP="00F023FF">
      <w:pPr>
        <w:rPr>
          <w:lang w:val="en-GB"/>
        </w:rPr>
      </w:pPr>
    </w:p>
    <w:p w:rsidR="00F023FF" w:rsidRPr="00F023FF" w:rsidRDefault="00F569EE" w:rsidP="004E469A">
      <w:pPr>
        <w:jc w:val="both"/>
        <w:rPr>
          <w:lang w:val="en-GB"/>
        </w:rPr>
      </w:pPr>
      <w:r>
        <w:rPr>
          <w:lang w:val="en-GB"/>
        </w:rPr>
        <w:t xml:space="preserve">The RAs </w:t>
      </w:r>
      <w:r w:rsidR="00D24522">
        <w:rPr>
          <w:lang w:val="en-GB"/>
        </w:rPr>
        <w:t>consider</w:t>
      </w:r>
      <w:r>
        <w:rPr>
          <w:lang w:val="en-GB"/>
        </w:rPr>
        <w:t xml:space="preserve"> that enshrining minimal I-SEM local arrangements in a set of market rules is crucial to the effective operation of the market.  </w:t>
      </w:r>
      <w:r w:rsidR="00687E6D">
        <w:rPr>
          <w:lang w:val="en-GB"/>
        </w:rPr>
        <w:t xml:space="preserve">Furthermore, the RAs </w:t>
      </w:r>
      <w:r w:rsidR="00D24522">
        <w:rPr>
          <w:lang w:val="en-GB"/>
        </w:rPr>
        <w:t>consider</w:t>
      </w:r>
      <w:r w:rsidR="006240F3">
        <w:rPr>
          <w:lang w:val="en-GB"/>
        </w:rPr>
        <w:t xml:space="preserve"> </w:t>
      </w:r>
      <w:r w:rsidR="00687E6D">
        <w:rPr>
          <w:lang w:val="en-GB"/>
        </w:rPr>
        <w:t xml:space="preserve">that the obligation to use a NEMO to trade in the ex-ante markets should be enshrined also in the market rules, i.e. the Trading and Settlement Code.  Accordingly, the RAs </w:t>
      </w:r>
      <w:r w:rsidR="005F4D96">
        <w:rPr>
          <w:lang w:val="en-GB"/>
        </w:rPr>
        <w:t>requir</w:t>
      </w:r>
      <w:r w:rsidR="00687E6D">
        <w:rPr>
          <w:lang w:val="en-GB"/>
        </w:rPr>
        <w:t>e</w:t>
      </w:r>
      <w:r w:rsidR="005F4D96">
        <w:rPr>
          <w:lang w:val="en-GB"/>
        </w:rPr>
        <w:t xml:space="preserve"> all parties to the Trading and Settlement Code to trade in the ex-ante markets using a NEMO designated under CACM (i.e. EirGrid or SONI or another validly designa</w:t>
      </w:r>
      <w:r w:rsidR="00781E50">
        <w:rPr>
          <w:lang w:val="en-GB"/>
        </w:rPr>
        <w:t>ted NEMO) with</w:t>
      </w:r>
      <w:r w:rsidR="005F4D96">
        <w:rPr>
          <w:lang w:val="en-GB"/>
        </w:rPr>
        <w:t xml:space="preserve"> an additional requirement that such a NEMO be a party to the Trading and Settlement Code.  This latter requirement will ensure that any NEMO passporting to SEM will be required to observe any local issues.  </w:t>
      </w:r>
      <w:r w:rsidR="00F023FF">
        <w:rPr>
          <w:lang w:val="en-GB"/>
        </w:rPr>
        <w:t xml:space="preserve"> </w:t>
      </w:r>
    </w:p>
    <w:p w:rsidR="00F023FF" w:rsidRDefault="00F023FF" w:rsidP="00DE1D63">
      <w:pPr>
        <w:rPr>
          <w:b/>
          <w:lang w:val="en-GB"/>
        </w:rPr>
      </w:pPr>
    </w:p>
    <w:p w:rsidR="00F023FF" w:rsidRPr="005F4D96" w:rsidRDefault="005F4D96" w:rsidP="00F023FF">
      <w:pPr>
        <w:pStyle w:val="Heading3"/>
        <w:keepLines w:val="0"/>
        <w:numPr>
          <w:ilvl w:val="1"/>
          <w:numId w:val="1"/>
        </w:numPr>
        <w:pBdr>
          <w:top w:val="single" w:sz="6" w:space="0" w:color="31849B" w:themeColor="accent5" w:themeShade="BF"/>
          <w:left w:val="single" w:sz="6" w:space="2" w:color="31849B" w:themeColor="accent5" w:themeShade="BF"/>
        </w:pBdr>
        <w:spacing w:before="0" w:line="300" w:lineRule="auto"/>
        <w:jc w:val="both"/>
        <w:rPr>
          <w:color w:val="4BACC6" w:themeColor="accent5"/>
          <w:lang w:val="en-GB"/>
        </w:rPr>
      </w:pPr>
      <w:bookmarkStart w:id="58" w:name="_Toc460239122"/>
      <w:r w:rsidRPr="005F4D96">
        <w:rPr>
          <w:color w:val="4BACC6" w:themeColor="accent5"/>
          <w:lang w:val="en-GB"/>
        </w:rPr>
        <w:t>ANALYSIS</w:t>
      </w:r>
      <w:bookmarkEnd w:id="58"/>
      <w:r w:rsidRPr="005F4D96">
        <w:rPr>
          <w:color w:val="4BACC6" w:themeColor="accent5"/>
          <w:lang w:val="en-GB"/>
        </w:rPr>
        <w:t xml:space="preserve"> </w:t>
      </w:r>
    </w:p>
    <w:p w:rsidR="005F4D96" w:rsidRPr="005F4D96" w:rsidRDefault="005F4D96" w:rsidP="005F4D96">
      <w:pPr>
        <w:rPr>
          <w:lang w:val="en-GB"/>
        </w:rPr>
      </w:pPr>
    </w:p>
    <w:p w:rsidR="00BE6645" w:rsidRDefault="00BE6645" w:rsidP="00570616">
      <w:pPr>
        <w:jc w:val="both"/>
        <w:rPr>
          <w:lang w:val="en-GB"/>
        </w:rPr>
      </w:pPr>
      <w:r>
        <w:rPr>
          <w:lang w:val="en-GB"/>
        </w:rPr>
        <w:t xml:space="preserve">The Trading and Settlement Code would provide a level of clarity around the operation of any NEMO functioning in SEM.  It would ensure that similar conditions are applied to all NEMOs operating in the market.  It would also ensure that I-SEM local </w:t>
      </w:r>
      <w:r w:rsidR="0066522A">
        <w:rPr>
          <w:lang w:val="en-GB"/>
        </w:rPr>
        <w:t xml:space="preserve">considerations that apply uniquely to the SEM </w:t>
      </w:r>
      <w:r>
        <w:rPr>
          <w:lang w:val="en-GB"/>
        </w:rPr>
        <w:t xml:space="preserve">such as those detailed in </w:t>
      </w:r>
      <w:r w:rsidR="00F04926" w:rsidRPr="00F04926">
        <w:rPr>
          <w:lang w:val="en-GB"/>
        </w:rPr>
        <w:t xml:space="preserve">Section </w:t>
      </w:r>
      <w:r w:rsidR="0001365C">
        <w:rPr>
          <w:lang w:val="en-GB"/>
        </w:rPr>
        <w:t>5 above</w:t>
      </w:r>
      <w:r w:rsidR="0066522A">
        <w:rPr>
          <w:lang w:val="en-GB"/>
        </w:rPr>
        <w:t xml:space="preserve"> are taken into account by all NEMOs, even those NEMOs who passport across from another Bidding Zone.</w:t>
      </w:r>
      <w:r>
        <w:rPr>
          <w:lang w:val="en-GB"/>
        </w:rPr>
        <w:t xml:space="preserve">  </w:t>
      </w:r>
    </w:p>
    <w:p w:rsidR="00687E6D" w:rsidRDefault="00687E6D" w:rsidP="00570616">
      <w:pPr>
        <w:jc w:val="both"/>
        <w:rPr>
          <w:lang w:val="en-GB"/>
        </w:rPr>
      </w:pPr>
    </w:p>
    <w:p w:rsidR="005F4D96" w:rsidRDefault="005F4D96" w:rsidP="005F4D96">
      <w:pPr>
        <w:pStyle w:val="Heading3"/>
        <w:keepLines w:val="0"/>
        <w:numPr>
          <w:ilvl w:val="1"/>
          <w:numId w:val="1"/>
        </w:numPr>
        <w:pBdr>
          <w:top w:val="single" w:sz="6" w:space="0" w:color="31849B" w:themeColor="accent5" w:themeShade="BF"/>
          <w:left w:val="single" w:sz="6" w:space="2" w:color="31849B" w:themeColor="accent5" w:themeShade="BF"/>
        </w:pBdr>
        <w:spacing w:before="0" w:line="300" w:lineRule="auto"/>
        <w:jc w:val="both"/>
        <w:rPr>
          <w:color w:val="4BACC6" w:themeColor="accent5"/>
          <w:lang w:val="en-GB"/>
        </w:rPr>
      </w:pPr>
      <w:bookmarkStart w:id="59" w:name="_Toc460239123"/>
      <w:r>
        <w:rPr>
          <w:color w:val="4BACC6" w:themeColor="accent5"/>
          <w:lang w:val="en-GB"/>
        </w:rPr>
        <w:t xml:space="preserve">DETAILS OF </w:t>
      </w:r>
      <w:r w:rsidR="00687E6D">
        <w:rPr>
          <w:color w:val="4BACC6" w:themeColor="accent5"/>
          <w:lang w:val="en-GB"/>
        </w:rPr>
        <w:t>APPROACH</w:t>
      </w:r>
      <w:bookmarkEnd w:id="59"/>
    </w:p>
    <w:p w:rsidR="005F4D96" w:rsidRPr="005F4D96" w:rsidRDefault="005F4D96" w:rsidP="005F4D96">
      <w:pPr>
        <w:rPr>
          <w:lang w:val="en-GB"/>
        </w:rPr>
      </w:pPr>
    </w:p>
    <w:p w:rsidR="0066522A" w:rsidRDefault="0066522A" w:rsidP="00570616">
      <w:pPr>
        <w:jc w:val="both"/>
        <w:rPr>
          <w:lang w:val="en-GB"/>
        </w:rPr>
      </w:pPr>
      <w:r>
        <w:rPr>
          <w:lang w:val="en-GB"/>
        </w:rPr>
        <w:t xml:space="preserve">The </w:t>
      </w:r>
      <w:r w:rsidR="005D6441">
        <w:rPr>
          <w:lang w:val="en-GB"/>
        </w:rPr>
        <w:t>RAs</w:t>
      </w:r>
      <w:r>
        <w:rPr>
          <w:lang w:val="en-GB"/>
        </w:rPr>
        <w:t xml:space="preserve"> </w:t>
      </w:r>
      <w:r w:rsidR="00120F08">
        <w:rPr>
          <w:lang w:val="en-GB"/>
        </w:rPr>
        <w:t xml:space="preserve">propose </w:t>
      </w:r>
      <w:r>
        <w:rPr>
          <w:lang w:val="en-GB"/>
        </w:rPr>
        <w:t>the following steps in ensuring NEMO governance through the Trading and Settlement Code:</w:t>
      </w:r>
    </w:p>
    <w:p w:rsidR="0066522A" w:rsidRPr="00242E4D" w:rsidRDefault="0066522A" w:rsidP="00570616">
      <w:pPr>
        <w:pStyle w:val="ListParagraph"/>
        <w:numPr>
          <w:ilvl w:val="0"/>
          <w:numId w:val="15"/>
        </w:numPr>
        <w:jc w:val="both"/>
        <w:rPr>
          <w:lang w:val="en-GB"/>
        </w:rPr>
      </w:pPr>
      <w:r>
        <w:t>I</w:t>
      </w:r>
      <w:r w:rsidR="00BE6645">
        <w:t xml:space="preserve">mpose an obligation on </w:t>
      </w:r>
      <w:r w:rsidR="00583E91">
        <w:t xml:space="preserve">all </w:t>
      </w:r>
      <w:r w:rsidR="00BE6645">
        <w:t>NEMOs</w:t>
      </w:r>
      <w:r w:rsidR="00583E91">
        <w:t xml:space="preserve"> operating in Ireland/ Northern Ireland</w:t>
      </w:r>
      <w:r w:rsidR="00BE6645">
        <w:t xml:space="preserve"> to be party to the Trading and Settlement Code.  </w:t>
      </w:r>
    </w:p>
    <w:p w:rsidR="0066522A" w:rsidRPr="00242E4D" w:rsidRDefault="0066522A" w:rsidP="00570616">
      <w:pPr>
        <w:pStyle w:val="ListParagraph"/>
        <w:jc w:val="both"/>
        <w:rPr>
          <w:lang w:val="en-GB"/>
        </w:rPr>
      </w:pPr>
    </w:p>
    <w:p w:rsidR="0066522A" w:rsidRPr="00242E4D" w:rsidRDefault="0066522A" w:rsidP="00570616">
      <w:pPr>
        <w:pStyle w:val="ListParagraph"/>
        <w:numPr>
          <w:ilvl w:val="0"/>
          <w:numId w:val="15"/>
        </w:numPr>
        <w:jc w:val="both"/>
        <w:rPr>
          <w:lang w:val="en-GB"/>
        </w:rPr>
      </w:pPr>
      <w:r>
        <w:t xml:space="preserve">Include </w:t>
      </w:r>
      <w:r w:rsidR="00BE6645">
        <w:t xml:space="preserve">content in the Trading and Settlement Code obliging market participants, when procuring Intra Day or Day Ahead Market </w:t>
      </w:r>
      <w:r w:rsidR="00955DEC">
        <w:t>Coupling</w:t>
      </w:r>
      <w:r w:rsidR="00BE6645">
        <w:t xml:space="preserve"> services, to use only NEMOs designated in accordance with CACM, who are also party to the Trading and Settlement Code.  </w:t>
      </w:r>
    </w:p>
    <w:p w:rsidR="0066522A" w:rsidRDefault="0066522A" w:rsidP="00570616">
      <w:pPr>
        <w:pStyle w:val="ListParagraph"/>
        <w:jc w:val="both"/>
      </w:pPr>
    </w:p>
    <w:p w:rsidR="00F1184B" w:rsidRDefault="00BE6645" w:rsidP="00DB7093">
      <w:pPr>
        <w:pStyle w:val="ListParagraph"/>
        <w:numPr>
          <w:ilvl w:val="0"/>
          <w:numId w:val="15"/>
        </w:numPr>
        <w:jc w:val="both"/>
      </w:pPr>
      <w:r>
        <w:t xml:space="preserve">Lastly, for the sake of completeness, a licence condition could be imposed on all generators and suppliers requiring the use of a NEMO designated in accordance with CACM and who is a party to the Trading and Settlement Code, would ensure a belt and braces approach whereby parties to the Code including unlicensed interconnector users and licenced generator and suppliers would be subject to the same requirements.  </w:t>
      </w:r>
      <w:r w:rsidR="00F1184B">
        <w:br w:type="page"/>
      </w:r>
    </w:p>
    <w:p w:rsidR="000B1F6F" w:rsidRDefault="00583E91" w:rsidP="00570616">
      <w:pPr>
        <w:pStyle w:val="Heading1"/>
        <w:keepNext w:val="0"/>
        <w:numPr>
          <w:ilvl w:val="0"/>
          <w:numId w:val="1"/>
        </w:numPr>
        <w:pBdr>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pBdr>
        <w:shd w:val="clear" w:color="auto" w:fill="31849B" w:themeFill="accent5" w:themeFillShade="BF"/>
        <w:spacing w:before="0" w:line="300" w:lineRule="auto"/>
        <w:ind w:left="426" w:hanging="426"/>
        <w:jc w:val="both"/>
        <w:rPr>
          <w:lang w:val="en-GB"/>
        </w:rPr>
      </w:pPr>
      <w:bookmarkStart w:id="60" w:name="_Toc453837031"/>
      <w:bookmarkStart w:id="61" w:name="_Toc445795172"/>
      <w:bookmarkStart w:id="62" w:name="_Toc445795785"/>
      <w:bookmarkStart w:id="63" w:name="_Toc445795184"/>
      <w:bookmarkStart w:id="64" w:name="_Toc445795797"/>
      <w:bookmarkStart w:id="65" w:name="_Toc445795190"/>
      <w:bookmarkStart w:id="66" w:name="_Toc445795803"/>
      <w:bookmarkStart w:id="67" w:name="_Toc445795196"/>
      <w:bookmarkStart w:id="68" w:name="_Toc445795809"/>
      <w:bookmarkStart w:id="69" w:name="_Toc445795201"/>
      <w:bookmarkStart w:id="70" w:name="_Toc445795814"/>
      <w:bookmarkStart w:id="71" w:name="_Toc445795207"/>
      <w:bookmarkStart w:id="72" w:name="_Toc445795820"/>
      <w:bookmarkStart w:id="73" w:name="_Toc445795213"/>
      <w:bookmarkStart w:id="74" w:name="_Toc445795826"/>
      <w:bookmarkStart w:id="75" w:name="_Toc445795225"/>
      <w:bookmarkStart w:id="76" w:name="_Toc445795838"/>
      <w:bookmarkStart w:id="77" w:name="_Toc445795239"/>
      <w:bookmarkStart w:id="78" w:name="_Toc445795852"/>
      <w:bookmarkStart w:id="79" w:name="_Toc445795244"/>
      <w:bookmarkStart w:id="80" w:name="_Toc445795857"/>
      <w:bookmarkStart w:id="81" w:name="_Toc445795250"/>
      <w:bookmarkStart w:id="82" w:name="_Toc445795863"/>
      <w:bookmarkStart w:id="83" w:name="_Toc445795263"/>
      <w:bookmarkStart w:id="84" w:name="_Toc445795876"/>
      <w:bookmarkStart w:id="85" w:name="_Toc445795268"/>
      <w:bookmarkStart w:id="86" w:name="_Toc445795881"/>
      <w:bookmarkStart w:id="87" w:name="_Toc460239124"/>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Pr>
          <w:lang w:val="en-GB"/>
        </w:rPr>
        <w:lastRenderedPageBreak/>
        <w:t>CONCLUSIONS, NEXT STEPS</w:t>
      </w:r>
      <w:bookmarkEnd w:id="87"/>
    </w:p>
    <w:p w:rsidR="00570616" w:rsidRDefault="00570616" w:rsidP="00570616">
      <w:pPr>
        <w:tabs>
          <w:tab w:val="left" w:pos="1770"/>
        </w:tabs>
        <w:autoSpaceDE w:val="0"/>
        <w:autoSpaceDN w:val="0"/>
        <w:adjustRightInd w:val="0"/>
        <w:jc w:val="both"/>
        <w:rPr>
          <w:b/>
          <w:color w:val="4BACC6" w:themeColor="accent5"/>
          <w:lang w:val="en-GB"/>
        </w:rPr>
      </w:pPr>
    </w:p>
    <w:p w:rsidR="00570616" w:rsidRPr="00570616" w:rsidRDefault="00570616" w:rsidP="00570616">
      <w:pPr>
        <w:pStyle w:val="Heading3"/>
        <w:keepLines w:val="0"/>
        <w:numPr>
          <w:ilvl w:val="1"/>
          <w:numId w:val="1"/>
        </w:numPr>
        <w:pBdr>
          <w:top w:val="single" w:sz="6" w:space="0" w:color="31849B" w:themeColor="accent5" w:themeShade="BF"/>
          <w:left w:val="single" w:sz="6" w:space="2" w:color="31849B" w:themeColor="accent5" w:themeShade="BF"/>
        </w:pBdr>
        <w:spacing w:before="0" w:line="300" w:lineRule="auto"/>
        <w:jc w:val="both"/>
        <w:rPr>
          <w:color w:val="4BACC6" w:themeColor="accent5"/>
          <w:lang w:val="en-GB"/>
        </w:rPr>
      </w:pPr>
      <w:bookmarkStart w:id="88" w:name="_Toc460239125"/>
      <w:bookmarkStart w:id="89" w:name="_Toc460239126"/>
      <w:bookmarkEnd w:id="88"/>
      <w:r w:rsidRPr="00570616">
        <w:rPr>
          <w:color w:val="4BACC6" w:themeColor="accent5"/>
          <w:lang w:val="en-GB"/>
        </w:rPr>
        <w:t>CONCLUSIONS</w:t>
      </w:r>
      <w:bookmarkEnd w:id="89"/>
      <w:r w:rsidRPr="00570616">
        <w:rPr>
          <w:color w:val="4BACC6" w:themeColor="accent5"/>
          <w:lang w:val="en-GB"/>
        </w:rPr>
        <w:t xml:space="preserve"> </w:t>
      </w:r>
    </w:p>
    <w:p w:rsidR="00570616" w:rsidRDefault="00570616" w:rsidP="00570616">
      <w:pPr>
        <w:rPr>
          <w:lang w:val="en-GB"/>
        </w:rPr>
      </w:pPr>
    </w:p>
    <w:p w:rsidR="00CC6D47" w:rsidRDefault="00CC6D47" w:rsidP="00570616">
      <w:pPr>
        <w:spacing w:line="300" w:lineRule="auto"/>
        <w:jc w:val="both"/>
        <w:rPr>
          <w:rFonts w:cstheme="minorHAnsi"/>
          <w:bCs/>
          <w:lang w:val="en-GB"/>
        </w:rPr>
      </w:pPr>
      <w:r>
        <w:rPr>
          <w:rFonts w:cstheme="minorHAnsi"/>
          <w:bCs/>
          <w:lang w:val="en-GB"/>
        </w:rPr>
        <w:t>Following review and assessment the RA’s consider</w:t>
      </w:r>
      <w:r w:rsidR="00583E91">
        <w:rPr>
          <w:rFonts w:cstheme="minorHAnsi"/>
          <w:bCs/>
          <w:lang w:val="en-GB"/>
        </w:rPr>
        <w:t xml:space="preserve"> that</w:t>
      </w:r>
      <w:r>
        <w:rPr>
          <w:rFonts w:cstheme="minorHAnsi"/>
          <w:bCs/>
          <w:lang w:val="en-GB"/>
        </w:rPr>
        <w:t xml:space="preserve"> in developing a framework for regulation of the NEMO </w:t>
      </w:r>
      <w:r>
        <w:rPr>
          <w:lang w:val="en-GB"/>
        </w:rPr>
        <w:t xml:space="preserve">the most appropriate form of regulation should </w:t>
      </w:r>
      <w:r w:rsidR="000312C5">
        <w:rPr>
          <w:lang w:val="en-GB"/>
        </w:rPr>
        <w:t>be:</w:t>
      </w:r>
    </w:p>
    <w:p w:rsidR="00570616" w:rsidRPr="00CC6D47" w:rsidRDefault="00570616" w:rsidP="005E6E7E">
      <w:pPr>
        <w:pStyle w:val="ListParagraph"/>
        <w:numPr>
          <w:ilvl w:val="0"/>
          <w:numId w:val="22"/>
        </w:numPr>
        <w:spacing w:line="300" w:lineRule="auto"/>
        <w:jc w:val="both"/>
        <w:rPr>
          <w:rFonts w:cstheme="minorHAnsi"/>
          <w:bCs/>
          <w:lang w:val="en-GB"/>
        </w:rPr>
      </w:pPr>
      <w:r w:rsidRPr="00CC6D47">
        <w:rPr>
          <w:rFonts w:cstheme="minorHAnsi"/>
          <w:bCs/>
          <w:lang w:val="en-GB"/>
        </w:rPr>
        <w:t xml:space="preserve"> </w:t>
      </w:r>
      <w:r w:rsidR="000B79C5">
        <w:rPr>
          <w:rFonts w:cstheme="minorHAnsi"/>
          <w:bCs/>
          <w:lang w:val="en-GB"/>
        </w:rPr>
        <w:t xml:space="preserve">NEMO role should sit as a subset of the Market Operator function </w:t>
      </w:r>
      <w:r w:rsidRPr="00CC6D47">
        <w:rPr>
          <w:rFonts w:cstheme="minorHAnsi"/>
          <w:bCs/>
          <w:lang w:val="en-GB"/>
        </w:rPr>
        <w:t xml:space="preserve">contained within the EirGrid and SONI </w:t>
      </w:r>
      <w:r w:rsidR="00583E91">
        <w:rPr>
          <w:rFonts w:cstheme="minorHAnsi"/>
          <w:bCs/>
          <w:lang w:val="en-GB"/>
        </w:rPr>
        <w:t xml:space="preserve">MO </w:t>
      </w:r>
      <w:r w:rsidRPr="00CC6D47">
        <w:rPr>
          <w:rFonts w:cstheme="minorHAnsi"/>
          <w:bCs/>
          <w:lang w:val="en-GB"/>
        </w:rPr>
        <w:t xml:space="preserve">licences.  </w:t>
      </w:r>
    </w:p>
    <w:p w:rsidR="00570616" w:rsidRPr="00CC6D47" w:rsidRDefault="000B79C5" w:rsidP="005E6E7E">
      <w:pPr>
        <w:pStyle w:val="ListParagraph"/>
        <w:numPr>
          <w:ilvl w:val="0"/>
          <w:numId w:val="22"/>
        </w:numPr>
        <w:spacing w:line="300" w:lineRule="auto"/>
        <w:jc w:val="both"/>
        <w:rPr>
          <w:rFonts w:cstheme="minorHAnsi"/>
          <w:bCs/>
          <w:lang w:val="en-GB"/>
        </w:rPr>
      </w:pPr>
      <w:r>
        <w:rPr>
          <w:rFonts w:cstheme="minorHAnsi"/>
          <w:bCs/>
          <w:lang w:val="en-GB"/>
        </w:rPr>
        <w:t xml:space="preserve">Given that CACM envisages some level of regulatory oversight of price </w:t>
      </w:r>
      <w:r w:rsidR="00950707">
        <w:rPr>
          <w:rFonts w:cstheme="minorHAnsi"/>
          <w:bCs/>
          <w:lang w:val="en-GB"/>
        </w:rPr>
        <w:t>regulation</w:t>
      </w:r>
      <w:r>
        <w:rPr>
          <w:rFonts w:cstheme="minorHAnsi"/>
          <w:bCs/>
          <w:lang w:val="en-GB"/>
        </w:rPr>
        <w:t xml:space="preserve"> and cost recovery by the RAs, </w:t>
      </w:r>
      <w:r w:rsidR="00570616" w:rsidRPr="00CC6D47">
        <w:rPr>
          <w:rFonts w:cstheme="minorHAnsi"/>
          <w:bCs/>
          <w:lang w:val="en-GB"/>
        </w:rPr>
        <w:t xml:space="preserve">it is appropriate that regulatory oversight in the </w:t>
      </w:r>
      <w:r w:rsidR="00950707">
        <w:rPr>
          <w:rFonts w:cstheme="minorHAnsi"/>
          <w:bCs/>
          <w:lang w:val="en-GB"/>
        </w:rPr>
        <w:t>price regulation</w:t>
      </w:r>
      <w:r w:rsidR="00570616" w:rsidRPr="00CC6D47">
        <w:rPr>
          <w:rFonts w:cstheme="minorHAnsi"/>
          <w:bCs/>
          <w:lang w:val="en-GB"/>
        </w:rPr>
        <w:t xml:space="preserve"> </w:t>
      </w:r>
      <w:r w:rsidR="00684127">
        <w:rPr>
          <w:rFonts w:cstheme="minorHAnsi"/>
          <w:bCs/>
          <w:lang w:val="en-GB"/>
        </w:rPr>
        <w:t>should be implemented</w:t>
      </w:r>
      <w:r w:rsidR="00570616" w:rsidRPr="00CC6D47">
        <w:rPr>
          <w:rFonts w:cstheme="minorHAnsi"/>
          <w:bCs/>
          <w:lang w:val="en-GB"/>
        </w:rPr>
        <w:t xml:space="preserve">.  </w:t>
      </w:r>
      <w:r>
        <w:rPr>
          <w:rFonts w:cstheme="minorHAnsi"/>
          <w:bCs/>
          <w:lang w:val="en-GB"/>
        </w:rPr>
        <w:t xml:space="preserve">Furthermore given that only one NEMO is </w:t>
      </w:r>
      <w:r w:rsidR="00583E91">
        <w:rPr>
          <w:rFonts w:cstheme="minorHAnsi"/>
          <w:bCs/>
          <w:lang w:val="en-GB"/>
        </w:rPr>
        <w:t>designated respectively in Ireland/ Northern Ireland</w:t>
      </w:r>
      <w:r>
        <w:rPr>
          <w:rFonts w:cstheme="minorHAnsi"/>
          <w:bCs/>
          <w:lang w:val="en-GB"/>
        </w:rPr>
        <w:t>, the RAs consider that such regulatory oversight is important to protect the interests of the consumer.</w:t>
      </w:r>
    </w:p>
    <w:p w:rsidR="00570616" w:rsidRDefault="00CC6D47" w:rsidP="005E6E7E">
      <w:pPr>
        <w:pStyle w:val="ListParagraph"/>
        <w:numPr>
          <w:ilvl w:val="0"/>
          <w:numId w:val="22"/>
        </w:numPr>
        <w:spacing w:line="300" w:lineRule="auto"/>
        <w:jc w:val="both"/>
        <w:rPr>
          <w:rFonts w:cstheme="minorHAnsi"/>
          <w:bCs/>
          <w:lang w:val="en-GB"/>
        </w:rPr>
      </w:pPr>
      <w:r>
        <w:rPr>
          <w:rFonts w:cstheme="minorHAnsi"/>
          <w:bCs/>
          <w:lang w:val="en-GB"/>
        </w:rPr>
        <w:t>T</w:t>
      </w:r>
      <w:r w:rsidR="00570616" w:rsidRPr="00CC6D47">
        <w:rPr>
          <w:rFonts w:cstheme="minorHAnsi"/>
          <w:bCs/>
          <w:lang w:val="en-GB"/>
        </w:rPr>
        <w:t xml:space="preserve">he Trading and Settlement Code should oblige all parties to the TSC to procure single day ahead and intraday market coupling services through a NEMO designated under CACM and who is also party to the Trading and Settlement Code.  </w:t>
      </w:r>
      <w:r w:rsidR="00570616" w:rsidRPr="00D91C28">
        <w:rPr>
          <w:rFonts w:cstheme="minorHAnsi"/>
          <w:bCs/>
          <w:lang w:val="en-GB"/>
        </w:rPr>
        <w:t xml:space="preserve">In addition, the Trading and Settlement Code would require all NEMOs operating in the market to be </w:t>
      </w:r>
      <w:r w:rsidR="00583E91">
        <w:rPr>
          <w:rFonts w:cstheme="minorHAnsi"/>
          <w:bCs/>
          <w:lang w:val="en-GB"/>
        </w:rPr>
        <w:t>party</w:t>
      </w:r>
      <w:r w:rsidR="006E1667">
        <w:rPr>
          <w:rFonts w:cstheme="minorHAnsi"/>
          <w:bCs/>
          <w:lang w:val="en-GB"/>
        </w:rPr>
        <w:t>_</w:t>
      </w:r>
      <w:r w:rsidR="00583E91" w:rsidRPr="00D91C28">
        <w:rPr>
          <w:rFonts w:cstheme="minorHAnsi"/>
          <w:bCs/>
          <w:lang w:val="en-GB"/>
        </w:rPr>
        <w:t xml:space="preserve"> </w:t>
      </w:r>
      <w:r w:rsidR="00570616" w:rsidRPr="00D91C28">
        <w:rPr>
          <w:rFonts w:cstheme="minorHAnsi"/>
          <w:bCs/>
          <w:lang w:val="en-GB"/>
        </w:rPr>
        <w:t>to the Trading and Settlement</w:t>
      </w:r>
      <w:r w:rsidR="00570616" w:rsidRPr="00A02425">
        <w:rPr>
          <w:rFonts w:cstheme="minorHAnsi"/>
          <w:bCs/>
          <w:lang w:val="en-GB"/>
        </w:rPr>
        <w:t xml:space="preserve"> Code.</w:t>
      </w:r>
      <w:r w:rsidR="005F4D96" w:rsidRPr="00A02425">
        <w:rPr>
          <w:rFonts w:cstheme="minorHAnsi"/>
          <w:bCs/>
          <w:lang w:val="en-GB"/>
        </w:rPr>
        <w:t xml:space="preserve"> </w:t>
      </w:r>
      <w:r w:rsidR="001D5D73">
        <w:rPr>
          <w:rFonts w:cstheme="minorHAnsi"/>
          <w:bCs/>
          <w:lang w:val="en-GB"/>
        </w:rPr>
        <w:t xml:space="preserve"> In addition, the TSC will prescribe that only NEMOs party to the Code may submit ex-ante contract notifications to the Market Operator.</w:t>
      </w:r>
    </w:p>
    <w:p w:rsidR="00CC6D47" w:rsidRPr="00CC6D47" w:rsidRDefault="00CC6D47" w:rsidP="005E6E7E">
      <w:pPr>
        <w:pStyle w:val="ListParagraph"/>
        <w:spacing w:line="300" w:lineRule="auto"/>
        <w:jc w:val="both"/>
        <w:rPr>
          <w:rFonts w:cstheme="minorHAnsi"/>
          <w:bCs/>
          <w:lang w:val="en-GB"/>
        </w:rPr>
      </w:pPr>
    </w:p>
    <w:p w:rsidR="00946565" w:rsidRDefault="00946565" w:rsidP="00946565">
      <w:pPr>
        <w:pStyle w:val="Heading3"/>
        <w:keepLines w:val="0"/>
        <w:numPr>
          <w:ilvl w:val="1"/>
          <w:numId w:val="21"/>
        </w:numPr>
        <w:pBdr>
          <w:top w:val="single" w:sz="6" w:space="0" w:color="31849B" w:themeColor="accent5" w:themeShade="BF"/>
          <w:left w:val="single" w:sz="6" w:space="2" w:color="31849B" w:themeColor="accent5" w:themeShade="BF"/>
        </w:pBdr>
        <w:spacing w:before="0" w:line="300" w:lineRule="auto"/>
        <w:jc w:val="both"/>
        <w:rPr>
          <w:color w:val="4BACC6" w:themeColor="accent5"/>
          <w:lang w:val="en-GB"/>
        </w:rPr>
      </w:pPr>
      <w:bookmarkStart w:id="90" w:name="_Toc460239127"/>
      <w:r>
        <w:rPr>
          <w:color w:val="4BACC6" w:themeColor="accent5"/>
          <w:lang w:val="en-GB"/>
        </w:rPr>
        <w:t>NEXT STEPS</w:t>
      </w:r>
      <w:bookmarkEnd w:id="90"/>
    </w:p>
    <w:p w:rsidR="00946565" w:rsidRDefault="00946565" w:rsidP="004E469A">
      <w:pPr>
        <w:jc w:val="both"/>
        <w:rPr>
          <w:lang w:val="en-GB"/>
        </w:rPr>
      </w:pPr>
    </w:p>
    <w:p w:rsidR="00946565" w:rsidRDefault="00946565" w:rsidP="004E469A">
      <w:pPr>
        <w:jc w:val="both"/>
        <w:rPr>
          <w:lang w:val="en-GB"/>
        </w:rPr>
      </w:pPr>
      <w:r>
        <w:rPr>
          <w:lang w:val="en-GB"/>
        </w:rPr>
        <w:t>The RAs will engage with EirGrid and SONI as Market Operators to consider</w:t>
      </w:r>
      <w:r w:rsidR="00184531">
        <w:rPr>
          <w:lang w:val="en-GB"/>
        </w:rPr>
        <w:t xml:space="preserve"> and implement</w:t>
      </w:r>
      <w:r>
        <w:rPr>
          <w:lang w:val="en-GB"/>
        </w:rPr>
        <w:t xml:space="preserve"> the governance framework outlined in this paper.</w:t>
      </w:r>
    </w:p>
    <w:p w:rsidR="00946565" w:rsidRDefault="00946565" w:rsidP="004E469A">
      <w:pPr>
        <w:jc w:val="both"/>
        <w:rPr>
          <w:lang w:val="en-GB"/>
        </w:rPr>
      </w:pPr>
      <w:r>
        <w:rPr>
          <w:lang w:val="en-GB"/>
        </w:rPr>
        <w:t>The RAs will continue to ensure NEMO compliance under Article 6 of CACM.</w:t>
      </w:r>
    </w:p>
    <w:p w:rsidR="00946565" w:rsidRDefault="00946565" w:rsidP="004E469A">
      <w:pPr>
        <w:jc w:val="both"/>
        <w:rPr>
          <w:lang w:val="en-GB"/>
        </w:rPr>
      </w:pPr>
      <w:r>
        <w:rPr>
          <w:lang w:val="en-GB"/>
        </w:rPr>
        <w:t>The RAs will continue to participate in NEMO Coordination, CACM Task Force meetings together with any other appropriate ACER briefings to ensure that the RAS are kept up-to-date on European Network Code development.  In addition, the RAs are in the process of establishing and European Stakeholders Forum which would allow the RAs, TSOs and market participants to engage on European Network Code related issues on a regular basis.</w:t>
      </w:r>
    </w:p>
    <w:p w:rsidR="001C6694" w:rsidRDefault="001C6694" w:rsidP="00570616">
      <w:pPr>
        <w:tabs>
          <w:tab w:val="left" w:pos="1770"/>
        </w:tabs>
        <w:autoSpaceDE w:val="0"/>
        <w:autoSpaceDN w:val="0"/>
        <w:adjustRightInd w:val="0"/>
        <w:jc w:val="both"/>
        <w:rPr>
          <w:b/>
          <w:color w:val="4BACC6" w:themeColor="accent5"/>
          <w:lang w:val="en-GB"/>
        </w:rPr>
      </w:pPr>
      <w:r>
        <w:rPr>
          <w:b/>
          <w:color w:val="4BACC6" w:themeColor="accent5"/>
          <w:lang w:val="en-GB"/>
        </w:rPr>
        <w:br w:type="page"/>
      </w:r>
    </w:p>
    <w:p w:rsidR="0066522A" w:rsidRDefault="0066522A" w:rsidP="00242E4D">
      <w:pPr>
        <w:pStyle w:val="Heading1"/>
        <w:keepNext w:val="0"/>
        <w:pBdr>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pBdr>
        <w:shd w:val="clear" w:color="auto" w:fill="31849B" w:themeFill="accent5" w:themeFillShade="BF"/>
        <w:spacing w:before="0" w:line="300" w:lineRule="auto"/>
        <w:jc w:val="both"/>
        <w:rPr>
          <w:lang w:val="en-GB"/>
        </w:rPr>
      </w:pPr>
      <w:bookmarkStart w:id="91" w:name="_Toc460239128"/>
      <w:r>
        <w:rPr>
          <w:lang w:val="en-GB"/>
        </w:rPr>
        <w:lastRenderedPageBreak/>
        <w:t xml:space="preserve">Annex 1: I-SEM </w:t>
      </w:r>
      <w:r w:rsidR="00583E91">
        <w:rPr>
          <w:lang w:val="en-GB"/>
        </w:rPr>
        <w:t>REGULATORY FRAMEWORK</w:t>
      </w:r>
      <w:bookmarkEnd w:id="91"/>
    </w:p>
    <w:p w:rsidR="0066522A" w:rsidRDefault="0066522A" w:rsidP="001C6694">
      <w:pPr>
        <w:tabs>
          <w:tab w:val="left" w:pos="1770"/>
        </w:tabs>
        <w:autoSpaceDE w:val="0"/>
        <w:autoSpaceDN w:val="0"/>
        <w:adjustRightInd w:val="0"/>
        <w:rPr>
          <w:b/>
          <w:color w:val="4BACC6" w:themeColor="accent5"/>
          <w:lang w:val="en-GB"/>
        </w:rPr>
      </w:pPr>
    </w:p>
    <w:p w:rsidR="001C6694" w:rsidRDefault="001C6694" w:rsidP="001C6694">
      <w:pPr>
        <w:tabs>
          <w:tab w:val="left" w:pos="1770"/>
        </w:tabs>
        <w:autoSpaceDE w:val="0"/>
        <w:autoSpaceDN w:val="0"/>
        <w:adjustRightInd w:val="0"/>
        <w:rPr>
          <w:b/>
          <w:color w:val="4BACC6" w:themeColor="accent5"/>
          <w:lang w:val="en-GB"/>
        </w:rPr>
      </w:pPr>
      <w:r>
        <w:rPr>
          <w:b/>
          <w:color w:val="4BACC6" w:themeColor="accent5"/>
          <w:lang w:val="en-GB"/>
        </w:rPr>
        <w:t>Figure 1: I-SEM Regulatory Framework</w:t>
      </w:r>
      <w:r w:rsidR="002F7FD6">
        <w:rPr>
          <w:rStyle w:val="FootnoteReference"/>
          <w:b/>
          <w:color w:val="4BACC6" w:themeColor="accent5"/>
          <w:lang w:val="en-GB"/>
        </w:rPr>
        <w:footnoteReference w:id="10"/>
      </w:r>
    </w:p>
    <w:p w:rsidR="001C6694" w:rsidRDefault="001C6694" w:rsidP="001C6694">
      <w:pPr>
        <w:rPr>
          <w:lang w:val="en-GB"/>
        </w:rPr>
      </w:pPr>
      <w:r w:rsidRPr="008A34A9">
        <w:rPr>
          <w:noProof/>
          <w:lang w:val="en-GB" w:eastAsia="en-GB"/>
        </w:rPr>
        <w:drawing>
          <wp:inline distT="0" distB="0" distL="0" distR="0">
            <wp:extent cx="5732145" cy="4224370"/>
            <wp:effectExtent l="0" t="0" r="8255" b="0"/>
            <wp:docPr id="1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32145" cy="4224370"/>
                    </a:xfrm>
                    <a:prstGeom prst="rect">
                      <a:avLst/>
                    </a:prstGeom>
                    <a:noFill/>
                    <a:ln>
                      <a:noFill/>
                    </a:ln>
                  </pic:spPr>
                </pic:pic>
              </a:graphicData>
            </a:graphic>
          </wp:inline>
        </w:drawing>
      </w:r>
    </w:p>
    <w:p w:rsidR="00ED163B" w:rsidRDefault="00ED163B" w:rsidP="001C6694">
      <w:pPr>
        <w:jc w:val="both"/>
        <w:rPr>
          <w:lang w:val="en-GB"/>
        </w:rPr>
      </w:pPr>
    </w:p>
    <w:p w:rsidR="003B2D34" w:rsidRDefault="003B2D34">
      <w:bookmarkStart w:id="92" w:name="_Toc429058178"/>
      <w:bookmarkStart w:id="93" w:name="_Toc440967013"/>
      <w:bookmarkStart w:id="94" w:name="_Toc440967015"/>
      <w:bookmarkStart w:id="95" w:name="_Toc440967016"/>
      <w:bookmarkStart w:id="96" w:name="_Toc440967018"/>
      <w:bookmarkStart w:id="97" w:name="_Toc440967019"/>
      <w:bookmarkStart w:id="98" w:name="_Toc440967020"/>
      <w:bookmarkStart w:id="99" w:name="_Toc440967021"/>
      <w:bookmarkStart w:id="100" w:name="_Toc440967022"/>
      <w:bookmarkStart w:id="101" w:name="_Toc440967023"/>
      <w:bookmarkStart w:id="102" w:name="_Toc440967024"/>
      <w:bookmarkStart w:id="103" w:name="_Toc440967025"/>
      <w:bookmarkStart w:id="104" w:name="_Toc440967026"/>
      <w:bookmarkStart w:id="105" w:name="_Toc440967027"/>
      <w:bookmarkStart w:id="106" w:name="_Toc440967029"/>
      <w:bookmarkStart w:id="107" w:name="_Toc440967030"/>
      <w:bookmarkStart w:id="108" w:name="_Toc440967031"/>
      <w:bookmarkStart w:id="109" w:name="_Toc440967033"/>
      <w:bookmarkStart w:id="110" w:name="_Toc440967034"/>
      <w:bookmarkStart w:id="111" w:name="_Toc440967036"/>
      <w:bookmarkStart w:id="112" w:name="_Toc440967038"/>
      <w:bookmarkStart w:id="113" w:name="_Toc440967040"/>
      <w:bookmarkStart w:id="114" w:name="_Toc440967042"/>
      <w:bookmarkStart w:id="115" w:name="_Toc440967043"/>
      <w:bookmarkStart w:id="116" w:name="_Toc440967046"/>
      <w:bookmarkStart w:id="117" w:name="_Toc440967047"/>
      <w:bookmarkStart w:id="118" w:name="_Toc440967048"/>
      <w:bookmarkStart w:id="119" w:name="_Toc440967050"/>
      <w:bookmarkStart w:id="120" w:name="_Toc440967055"/>
      <w:bookmarkStart w:id="121" w:name="_Toc440967056"/>
      <w:bookmarkStart w:id="122" w:name="_Toc440967057"/>
      <w:bookmarkStart w:id="123" w:name="_Toc440967058"/>
      <w:bookmarkStart w:id="124" w:name="_Toc440967066"/>
      <w:bookmarkStart w:id="125" w:name="_Toc440967067"/>
      <w:bookmarkStart w:id="126" w:name="_Toc440967070"/>
      <w:bookmarkStart w:id="127" w:name="_Toc440967072"/>
      <w:bookmarkStart w:id="128" w:name="_Toc440967073"/>
      <w:bookmarkStart w:id="129" w:name="_Toc440967074"/>
      <w:bookmarkStart w:id="130" w:name="_Toc440967075"/>
      <w:bookmarkStart w:id="131" w:name="_Toc440967076"/>
      <w:bookmarkStart w:id="132" w:name="_Toc440967077"/>
      <w:bookmarkStart w:id="133" w:name="_Toc440967078"/>
      <w:bookmarkStart w:id="134" w:name="_Toc440967079"/>
      <w:bookmarkStart w:id="135" w:name="_Toc440967104"/>
      <w:bookmarkStart w:id="136" w:name="_Toc440967142"/>
      <w:bookmarkStart w:id="137" w:name="_Toc440967202"/>
      <w:bookmarkStart w:id="138" w:name="_Toc440967234"/>
      <w:bookmarkStart w:id="139" w:name="_Toc440967261"/>
      <w:bookmarkStart w:id="140" w:name="_Toc440967270"/>
      <w:bookmarkStart w:id="141" w:name="_Toc440967271"/>
      <w:bookmarkStart w:id="142" w:name="_Toc440967272"/>
      <w:bookmarkStart w:id="143" w:name="_Toc440967273"/>
      <w:bookmarkStart w:id="144" w:name="_Toc440967274"/>
      <w:bookmarkStart w:id="145" w:name="_Toc440967275"/>
      <w:bookmarkStart w:id="146" w:name="_Toc440967277"/>
      <w:bookmarkStart w:id="147" w:name="_Toc440967279"/>
      <w:bookmarkStart w:id="148" w:name="_Toc440967281"/>
      <w:bookmarkStart w:id="149" w:name="_Toc440967282"/>
      <w:bookmarkStart w:id="150" w:name="_Toc440967283"/>
      <w:bookmarkStart w:id="151" w:name="_Toc440967284"/>
      <w:bookmarkStart w:id="152" w:name="_Toc440967285"/>
      <w:bookmarkStart w:id="153" w:name="_Toc440967286"/>
      <w:bookmarkStart w:id="154" w:name="_Toc440967287"/>
      <w:bookmarkStart w:id="155" w:name="_Toc440967289"/>
      <w:bookmarkStart w:id="156" w:name="_Toc440967291"/>
      <w:bookmarkStart w:id="157" w:name="_Toc440967292"/>
      <w:bookmarkStart w:id="158" w:name="_Toc440967293"/>
      <w:bookmarkStart w:id="159" w:name="_Toc440967294"/>
      <w:bookmarkStart w:id="160" w:name="_Toc440967295"/>
      <w:bookmarkStart w:id="161" w:name="_Toc440967296"/>
      <w:bookmarkStart w:id="162" w:name="_Toc440967297"/>
      <w:bookmarkStart w:id="163" w:name="_Toc440967300"/>
      <w:bookmarkStart w:id="164" w:name="_Toc440967301"/>
      <w:bookmarkStart w:id="165" w:name="_Toc440967302"/>
      <w:bookmarkStart w:id="166" w:name="_Toc440967306"/>
      <w:bookmarkStart w:id="167" w:name="_Toc440967308"/>
      <w:bookmarkStart w:id="168" w:name="_Toc440967309"/>
      <w:bookmarkStart w:id="169" w:name="_Toc440967311"/>
      <w:bookmarkStart w:id="170" w:name="_Toc440967312"/>
      <w:bookmarkStart w:id="171" w:name="_Toc440967313"/>
      <w:bookmarkStart w:id="172" w:name="_Toc440967314"/>
      <w:bookmarkStart w:id="173" w:name="_Toc440967315"/>
      <w:bookmarkStart w:id="174" w:name="_Toc440967316"/>
      <w:bookmarkStart w:id="175" w:name="_Toc440967317"/>
      <w:bookmarkStart w:id="176" w:name="_Toc440967318"/>
      <w:bookmarkStart w:id="177" w:name="_Toc440967320"/>
      <w:bookmarkStart w:id="178" w:name="_Toc440967321"/>
      <w:bookmarkStart w:id="179" w:name="_Toc440967322"/>
      <w:bookmarkStart w:id="180" w:name="_Toc440967323"/>
      <w:bookmarkStart w:id="181" w:name="_Toc440967324"/>
      <w:bookmarkStart w:id="182" w:name="_Toc440967326"/>
      <w:bookmarkStart w:id="183" w:name="_Toc440967327"/>
      <w:bookmarkStart w:id="184" w:name="_Toc440967328"/>
      <w:bookmarkStart w:id="185" w:name="_Toc440967330"/>
      <w:bookmarkStart w:id="186" w:name="_Toc440967331"/>
      <w:bookmarkStart w:id="187" w:name="_Toc440967332"/>
      <w:bookmarkStart w:id="188" w:name="_Toc440967333"/>
      <w:bookmarkStart w:id="189" w:name="_Toc440967334"/>
      <w:bookmarkStart w:id="190" w:name="_Toc440967335"/>
      <w:bookmarkStart w:id="191" w:name="_Toc440967336"/>
      <w:bookmarkStart w:id="192" w:name="_Toc440967337"/>
      <w:bookmarkStart w:id="193" w:name="_Toc440967338"/>
      <w:bookmarkStart w:id="194" w:name="_Toc440967339"/>
      <w:bookmarkStart w:id="195" w:name="_Toc440967340"/>
      <w:bookmarkStart w:id="196" w:name="_Toc440967342"/>
      <w:bookmarkStart w:id="197" w:name="_Toc440967343"/>
      <w:bookmarkStart w:id="198" w:name="_Toc440967344"/>
      <w:bookmarkStart w:id="199" w:name="_Toc440967346"/>
      <w:bookmarkStart w:id="200" w:name="_Toc440967348"/>
      <w:bookmarkStart w:id="201" w:name="_Toc440967350"/>
      <w:bookmarkStart w:id="202" w:name="_Toc440967351"/>
      <w:bookmarkStart w:id="203" w:name="_Toc440967352"/>
      <w:bookmarkStart w:id="204" w:name="_Toc440967353"/>
      <w:bookmarkStart w:id="205" w:name="_Toc440967354"/>
      <w:bookmarkStart w:id="206" w:name="_Toc440967355"/>
      <w:bookmarkStart w:id="207" w:name="_Toc440967356"/>
      <w:bookmarkStart w:id="208" w:name="_Toc440967357"/>
      <w:bookmarkStart w:id="209" w:name="_Toc440967358"/>
      <w:bookmarkStart w:id="210" w:name="_Toc440967359"/>
      <w:bookmarkStart w:id="211" w:name="_Toc440967360"/>
      <w:bookmarkStart w:id="212" w:name="_Toc440967361"/>
      <w:bookmarkStart w:id="213" w:name="_Toc440967362"/>
      <w:bookmarkStart w:id="214" w:name="_Toc440967363"/>
      <w:bookmarkStart w:id="215" w:name="_Toc440967364"/>
      <w:bookmarkStart w:id="216" w:name="_Toc440967365"/>
      <w:bookmarkStart w:id="217" w:name="_Toc440967367"/>
      <w:bookmarkStart w:id="218" w:name="_Toc440967369"/>
      <w:bookmarkStart w:id="219" w:name="_Toc440967371"/>
      <w:bookmarkStart w:id="220" w:name="_Toc440967372"/>
      <w:bookmarkStart w:id="221" w:name="_Toc440967373"/>
      <w:bookmarkStart w:id="222" w:name="_Toc440967375"/>
      <w:bookmarkStart w:id="223" w:name="_Toc440967377"/>
      <w:bookmarkStart w:id="224" w:name="_Toc440967379"/>
      <w:bookmarkStart w:id="225" w:name="_Toc440967380"/>
      <w:bookmarkStart w:id="226" w:name="_Toc440967381"/>
      <w:bookmarkStart w:id="227" w:name="_Toc440967382"/>
      <w:bookmarkStart w:id="228" w:name="_Toc440967383"/>
      <w:bookmarkStart w:id="229" w:name="_Toc440967385"/>
      <w:bookmarkStart w:id="230" w:name="_Toc440967388"/>
      <w:bookmarkStart w:id="231" w:name="_Toc440967389"/>
      <w:bookmarkStart w:id="232" w:name="_Toc440967390"/>
      <w:bookmarkStart w:id="233" w:name="_Toc440967391"/>
      <w:bookmarkStart w:id="234" w:name="_Toc440967392"/>
      <w:bookmarkStart w:id="235" w:name="_Toc440967393"/>
      <w:bookmarkStart w:id="236" w:name="_Toc440967394"/>
      <w:bookmarkStart w:id="237" w:name="_Toc440967395"/>
      <w:bookmarkStart w:id="238" w:name="_Toc440967396"/>
      <w:bookmarkStart w:id="239" w:name="_Toc440967397"/>
      <w:bookmarkStart w:id="240" w:name="_Toc440967398"/>
      <w:bookmarkStart w:id="241" w:name="_Toc440967401"/>
      <w:bookmarkStart w:id="242" w:name="_Toc440967402"/>
      <w:bookmarkStart w:id="243" w:name="_Toc440967403"/>
      <w:bookmarkStart w:id="244" w:name="_Toc440967404"/>
      <w:bookmarkStart w:id="245" w:name="_Toc440967405"/>
      <w:bookmarkStart w:id="246" w:name="_Toc440967406"/>
      <w:bookmarkStart w:id="247" w:name="_Toc440967407"/>
      <w:bookmarkStart w:id="248" w:name="_Toc440967408"/>
      <w:bookmarkStart w:id="249" w:name="_Toc440967410"/>
      <w:bookmarkStart w:id="250" w:name="_Toc440967411"/>
      <w:bookmarkStart w:id="251" w:name="_Toc440967412"/>
      <w:bookmarkStart w:id="252" w:name="_Toc440967414"/>
      <w:bookmarkStart w:id="253" w:name="_Toc440967416"/>
      <w:bookmarkStart w:id="254" w:name="_Toc440967418"/>
      <w:bookmarkStart w:id="255" w:name="_Toc440967419"/>
      <w:bookmarkStart w:id="256" w:name="_Toc440967420"/>
      <w:bookmarkStart w:id="257" w:name="_Toc440967421"/>
      <w:bookmarkStart w:id="258" w:name="_Toc440967422"/>
      <w:bookmarkStart w:id="259" w:name="_Toc440967423"/>
      <w:bookmarkStart w:id="260" w:name="_Toc440967424"/>
      <w:bookmarkStart w:id="261" w:name="_Toc440967425"/>
      <w:bookmarkStart w:id="262" w:name="_Toc440967426"/>
      <w:bookmarkStart w:id="263" w:name="_Toc440967427"/>
      <w:bookmarkStart w:id="264" w:name="_Toc440967428"/>
      <w:bookmarkStart w:id="265" w:name="_Toc440967429"/>
      <w:bookmarkStart w:id="266" w:name="_Toc440967431"/>
      <w:bookmarkStart w:id="267" w:name="_Toc440967433"/>
      <w:bookmarkStart w:id="268" w:name="_Toc440967434"/>
      <w:bookmarkStart w:id="269" w:name="_Toc440967435"/>
      <w:bookmarkStart w:id="270" w:name="_Toc440967436"/>
      <w:bookmarkStart w:id="271" w:name="_Toc440967437"/>
      <w:bookmarkStart w:id="272" w:name="_Toc440967438"/>
      <w:bookmarkStart w:id="273" w:name="_Toc440967439"/>
      <w:bookmarkStart w:id="274" w:name="_Toc440967440"/>
      <w:bookmarkStart w:id="275" w:name="_Toc440967441"/>
      <w:bookmarkStart w:id="276" w:name="_Toc440967442"/>
      <w:bookmarkStart w:id="277" w:name="_Toc440967443"/>
      <w:bookmarkStart w:id="278" w:name="_Toc440967444"/>
      <w:bookmarkStart w:id="279" w:name="_Toc440967445"/>
      <w:bookmarkStart w:id="280" w:name="_Toc440967446"/>
      <w:bookmarkStart w:id="281" w:name="_Toc440967447"/>
      <w:bookmarkStart w:id="282" w:name="_Toc440967448"/>
      <w:bookmarkStart w:id="283" w:name="_Toc440967449"/>
      <w:bookmarkStart w:id="284" w:name="_Toc440967450"/>
      <w:bookmarkStart w:id="285" w:name="_Toc440967451"/>
      <w:bookmarkStart w:id="286" w:name="_Toc440967452"/>
      <w:bookmarkStart w:id="287" w:name="_Toc440967453"/>
      <w:bookmarkStart w:id="288" w:name="_Toc440967454"/>
      <w:bookmarkStart w:id="289" w:name="_Toc440967456"/>
      <w:bookmarkStart w:id="290" w:name="_Toc440967458"/>
      <w:bookmarkStart w:id="291" w:name="_Toc440967461"/>
      <w:bookmarkStart w:id="292" w:name="_Toc440967463"/>
      <w:bookmarkStart w:id="293" w:name="_Toc440967464"/>
      <w:bookmarkStart w:id="294" w:name="_Toc440967465"/>
      <w:bookmarkStart w:id="295" w:name="_Toc440967466"/>
      <w:bookmarkStart w:id="296" w:name="_Toc440967487"/>
      <w:bookmarkStart w:id="297" w:name="_Toc440967488"/>
      <w:bookmarkStart w:id="298" w:name="_Toc440967489"/>
      <w:bookmarkStart w:id="299" w:name="_Toc440967490"/>
      <w:bookmarkStart w:id="300" w:name="_Toc440967492"/>
      <w:bookmarkStart w:id="301" w:name="_Toc440967493"/>
      <w:bookmarkStart w:id="302" w:name="_Toc440967494"/>
      <w:bookmarkStart w:id="303" w:name="_Toc440967495"/>
      <w:bookmarkStart w:id="304" w:name="_Toc440967496"/>
      <w:bookmarkStart w:id="305" w:name="_Toc440967498"/>
      <w:bookmarkStart w:id="306" w:name="_Toc440967499"/>
      <w:bookmarkStart w:id="307" w:name="_Toc440967500"/>
      <w:bookmarkStart w:id="308" w:name="_Toc440967501"/>
      <w:bookmarkStart w:id="309" w:name="_Toc440967502"/>
      <w:bookmarkStart w:id="310" w:name="_Toc440967503"/>
      <w:bookmarkStart w:id="311" w:name="_Toc440967504"/>
      <w:bookmarkStart w:id="312" w:name="_Toc440967505"/>
      <w:bookmarkStart w:id="313" w:name="_Toc440967506"/>
      <w:bookmarkStart w:id="314" w:name="_Toc440967507"/>
      <w:bookmarkStart w:id="315" w:name="_Toc440967508"/>
      <w:bookmarkStart w:id="316" w:name="_Toc440967509"/>
      <w:bookmarkStart w:id="317" w:name="_Toc440967510"/>
      <w:bookmarkStart w:id="318" w:name="_Toc440967511"/>
      <w:bookmarkStart w:id="319" w:name="_Toc440967512"/>
      <w:bookmarkStart w:id="320" w:name="_Toc440967513"/>
      <w:bookmarkStart w:id="321" w:name="_Toc440967514"/>
      <w:bookmarkStart w:id="322" w:name="_Toc440967515"/>
      <w:bookmarkStart w:id="323" w:name="_Toc440967516"/>
      <w:bookmarkStart w:id="324" w:name="_Toc440967517"/>
      <w:bookmarkStart w:id="325" w:name="_Toc440967518"/>
      <w:bookmarkStart w:id="326" w:name="_Toc440967519"/>
      <w:bookmarkStart w:id="327" w:name="_Toc440967520"/>
      <w:bookmarkStart w:id="328" w:name="_Toc440967521"/>
      <w:bookmarkStart w:id="329" w:name="_Toc440967522"/>
      <w:bookmarkStart w:id="330" w:name="_Toc440967523"/>
      <w:bookmarkStart w:id="331" w:name="_Toc440967524"/>
      <w:bookmarkStart w:id="332" w:name="_Toc440967525"/>
      <w:bookmarkStart w:id="333" w:name="_Toc440967526"/>
      <w:bookmarkStart w:id="334" w:name="_Toc440967527"/>
      <w:bookmarkStart w:id="335" w:name="_Toc440967528"/>
      <w:bookmarkStart w:id="336" w:name="_Toc440967529"/>
      <w:bookmarkStart w:id="337" w:name="_Toc440967530"/>
      <w:bookmarkStart w:id="338" w:name="_Toc440967531"/>
      <w:bookmarkStart w:id="339" w:name="_Toc440967532"/>
      <w:bookmarkStart w:id="340" w:name="_Toc440967533"/>
      <w:bookmarkStart w:id="341" w:name="_Toc440967534"/>
      <w:bookmarkStart w:id="342" w:name="_Toc440967535"/>
      <w:bookmarkStart w:id="343" w:name="_Toc440967536"/>
      <w:bookmarkStart w:id="344" w:name="_Toc440967537"/>
      <w:bookmarkStart w:id="345" w:name="_Toc440967538"/>
      <w:bookmarkStart w:id="346" w:name="_Toc440967539"/>
      <w:bookmarkStart w:id="347" w:name="_Toc440967540"/>
      <w:bookmarkStart w:id="348" w:name="_Toc440967541"/>
      <w:bookmarkStart w:id="349" w:name="_Toc440967542"/>
      <w:bookmarkStart w:id="350" w:name="_Toc440967543"/>
      <w:bookmarkStart w:id="351" w:name="_Toc440967544"/>
      <w:bookmarkStart w:id="352" w:name="_Toc440967545"/>
      <w:bookmarkStart w:id="353" w:name="_Toc440967546"/>
      <w:bookmarkStart w:id="354" w:name="_Toc440967547"/>
      <w:bookmarkStart w:id="355" w:name="_Toc440967548"/>
      <w:bookmarkStart w:id="356" w:name="_Toc440967549"/>
      <w:bookmarkStart w:id="357" w:name="_Toc440967550"/>
      <w:bookmarkStart w:id="358" w:name="_Toc440967551"/>
      <w:bookmarkStart w:id="359" w:name="_Toc440967552"/>
      <w:bookmarkStart w:id="360" w:name="_Toc440967553"/>
      <w:bookmarkStart w:id="361" w:name="_Toc440967554"/>
      <w:bookmarkStart w:id="362" w:name="_Toc440967555"/>
      <w:bookmarkStart w:id="363" w:name="_Toc440967556"/>
      <w:bookmarkStart w:id="364" w:name="_Toc440967557"/>
      <w:bookmarkStart w:id="365" w:name="_Toc440967558"/>
      <w:bookmarkStart w:id="366" w:name="_Toc440967559"/>
      <w:bookmarkStart w:id="367" w:name="_Toc440967560"/>
      <w:bookmarkEnd w:id="10"/>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br w:type="page"/>
      </w:r>
    </w:p>
    <w:p w:rsidR="003B2D34" w:rsidRDefault="003B2D34" w:rsidP="003B2D34">
      <w:pPr>
        <w:pStyle w:val="Heading1"/>
        <w:keepNext w:val="0"/>
        <w:pBdr>
          <w:top w:val="single" w:sz="24" w:space="0" w:color="31849B" w:themeColor="accent5" w:themeShade="BF"/>
          <w:left w:val="single" w:sz="24" w:space="0" w:color="31849B" w:themeColor="accent5" w:themeShade="BF"/>
          <w:bottom w:val="single" w:sz="24" w:space="0" w:color="31849B" w:themeColor="accent5" w:themeShade="BF"/>
          <w:right w:val="single" w:sz="24" w:space="0" w:color="31849B" w:themeColor="accent5" w:themeShade="BF"/>
        </w:pBdr>
        <w:shd w:val="clear" w:color="auto" w:fill="31849B" w:themeFill="accent5" w:themeFillShade="BF"/>
        <w:spacing w:before="0" w:line="300" w:lineRule="auto"/>
        <w:jc w:val="both"/>
        <w:rPr>
          <w:lang w:val="en-GB"/>
        </w:rPr>
      </w:pPr>
      <w:bookmarkStart w:id="368" w:name="_Toc460239129"/>
      <w:r>
        <w:rPr>
          <w:lang w:val="en-GB"/>
        </w:rPr>
        <w:lastRenderedPageBreak/>
        <w:t xml:space="preserve">Annex 2: </w:t>
      </w:r>
      <w:r w:rsidR="00583E91">
        <w:rPr>
          <w:lang w:val="en-GB"/>
        </w:rPr>
        <w:t>NEMO DESIGNATION CRITERIA AS OUTLINED IN ARTICLE 6 OF CACM</w:t>
      </w:r>
      <w:bookmarkEnd w:id="368"/>
    </w:p>
    <w:p w:rsidR="003B2D34" w:rsidRDefault="003B2D34" w:rsidP="003B2D34">
      <w:pPr>
        <w:jc w:val="both"/>
        <w:rPr>
          <w:rFonts w:ascii="Calibri" w:eastAsiaTheme="minorHAnsi" w:hAnsi="Calibri"/>
          <w:sz w:val="24"/>
          <w:lang w:val="en-GB" w:eastAsia="en-US"/>
        </w:rPr>
      </w:pPr>
    </w:p>
    <w:tbl>
      <w:tblPr>
        <w:tblStyle w:val="TableGrid"/>
        <w:tblW w:w="0" w:type="auto"/>
        <w:shd w:val="clear" w:color="auto" w:fill="92CDDC" w:themeFill="accent5" w:themeFillTint="99"/>
        <w:tblLook w:val="04A0"/>
      </w:tblPr>
      <w:tblGrid>
        <w:gridCol w:w="2235"/>
        <w:gridCol w:w="7007"/>
      </w:tblGrid>
      <w:tr w:rsidR="003B2D34" w:rsidTr="0066257F">
        <w:trPr>
          <w:tblHeader/>
        </w:trPr>
        <w:tc>
          <w:tcPr>
            <w:tcW w:w="2235" w:type="dxa"/>
            <w:shd w:val="clear" w:color="auto" w:fill="92CDDC" w:themeFill="accent5" w:themeFillTint="99"/>
          </w:tcPr>
          <w:p w:rsidR="003B2D34" w:rsidRPr="000B1F6F" w:rsidRDefault="003B2D34" w:rsidP="0066257F">
            <w:pPr>
              <w:jc w:val="both"/>
              <w:rPr>
                <w:rFonts w:ascii="Calibri" w:eastAsiaTheme="minorHAnsi" w:hAnsi="Calibri"/>
                <w:b/>
                <w:color w:val="FFFFFF" w:themeColor="background1"/>
                <w:sz w:val="24"/>
                <w:lang w:val="en-GB" w:eastAsia="en-US"/>
              </w:rPr>
            </w:pPr>
            <w:r>
              <w:rPr>
                <w:rFonts w:ascii="Calibri" w:eastAsiaTheme="minorHAnsi" w:hAnsi="Calibri"/>
                <w:b/>
                <w:color w:val="FFFFFF" w:themeColor="background1"/>
                <w:sz w:val="24"/>
                <w:lang w:val="en-GB" w:eastAsia="en-US"/>
              </w:rPr>
              <w:t xml:space="preserve">CACM Regulation Article Reference </w:t>
            </w:r>
          </w:p>
        </w:tc>
        <w:tc>
          <w:tcPr>
            <w:tcW w:w="7007" w:type="dxa"/>
            <w:shd w:val="clear" w:color="auto" w:fill="92CDDC" w:themeFill="accent5" w:themeFillTint="99"/>
          </w:tcPr>
          <w:p w:rsidR="003B2D34" w:rsidRPr="000B1F6F" w:rsidRDefault="003B2D34" w:rsidP="0066257F">
            <w:pPr>
              <w:jc w:val="both"/>
              <w:rPr>
                <w:rFonts w:ascii="Calibri" w:eastAsiaTheme="minorHAnsi" w:hAnsi="Calibri"/>
                <w:b/>
                <w:color w:val="FFFFFF" w:themeColor="background1"/>
                <w:sz w:val="24"/>
                <w:lang w:val="en-GB" w:eastAsia="en-US"/>
              </w:rPr>
            </w:pPr>
            <w:r w:rsidRPr="000B1F6F">
              <w:rPr>
                <w:rFonts w:ascii="Calibri" w:eastAsiaTheme="minorHAnsi" w:hAnsi="Calibri"/>
                <w:b/>
                <w:color w:val="FFFFFF" w:themeColor="background1"/>
                <w:sz w:val="24"/>
                <w:lang w:val="en-GB" w:eastAsia="en-US"/>
              </w:rPr>
              <w:t xml:space="preserve">CACM </w:t>
            </w:r>
            <w:r>
              <w:rPr>
                <w:rFonts w:ascii="Calibri" w:eastAsiaTheme="minorHAnsi" w:hAnsi="Calibri"/>
                <w:b/>
                <w:color w:val="FFFFFF" w:themeColor="background1"/>
                <w:sz w:val="24"/>
                <w:lang w:val="en-GB" w:eastAsia="en-US"/>
              </w:rPr>
              <w:t>NEMO Requirement as a condition of Designation</w:t>
            </w:r>
          </w:p>
        </w:tc>
      </w:tr>
      <w:tr w:rsidR="003B2D34" w:rsidTr="0066257F">
        <w:tc>
          <w:tcPr>
            <w:tcW w:w="2235" w:type="dxa"/>
            <w:shd w:val="clear" w:color="auto" w:fill="92CDDC" w:themeFill="accent5" w:themeFillTint="99"/>
          </w:tcPr>
          <w:p w:rsidR="003B2D34" w:rsidRDefault="003B2D34" w:rsidP="0066257F">
            <w:pPr>
              <w:jc w:val="both"/>
              <w:rPr>
                <w:rFonts w:ascii="Calibri" w:eastAsiaTheme="minorHAnsi" w:hAnsi="Calibri"/>
                <w:sz w:val="24"/>
                <w:lang w:val="en-GB" w:eastAsia="en-US"/>
              </w:rPr>
            </w:pPr>
            <w:r>
              <w:rPr>
                <w:rFonts w:ascii="Calibri" w:eastAsiaTheme="minorHAnsi" w:hAnsi="Calibri"/>
                <w:sz w:val="24"/>
                <w:lang w:val="en-GB" w:eastAsia="en-US"/>
              </w:rPr>
              <w:t>6.1(a)</w:t>
            </w:r>
          </w:p>
        </w:tc>
        <w:tc>
          <w:tcPr>
            <w:tcW w:w="7007" w:type="dxa"/>
            <w:shd w:val="clear" w:color="auto" w:fill="92CDDC" w:themeFill="accent5" w:themeFillTint="99"/>
          </w:tcPr>
          <w:p w:rsidR="003B2D34" w:rsidRPr="003B75C2" w:rsidRDefault="003B2D34" w:rsidP="0066257F">
            <w:pPr>
              <w:pStyle w:val="Title1"/>
              <w:spacing w:after="200" w:line="276" w:lineRule="auto"/>
              <w:jc w:val="both"/>
              <w:rPr>
                <w:rFonts w:ascii="Calibri" w:hAnsi="Calibri" w:cs="Calibri"/>
                <w:sz w:val="24"/>
                <w:szCs w:val="24"/>
              </w:rPr>
            </w:pPr>
            <w:r w:rsidRPr="003B75C2">
              <w:rPr>
                <w:rFonts w:ascii="Calibri" w:hAnsi="Calibri" w:cs="Calibri"/>
                <w:sz w:val="24"/>
                <w:szCs w:val="24"/>
              </w:rPr>
              <w:t>It</w:t>
            </w:r>
            <w:r>
              <w:rPr>
                <w:rFonts w:ascii="Calibri" w:hAnsi="Calibri" w:cs="Calibri"/>
                <w:sz w:val="24"/>
                <w:szCs w:val="24"/>
              </w:rPr>
              <w:t xml:space="preserve"> [NEMO]</w:t>
            </w:r>
            <w:r w:rsidRPr="003B75C2">
              <w:rPr>
                <w:rFonts w:ascii="Calibri" w:hAnsi="Calibri" w:cs="Calibri"/>
                <w:sz w:val="24"/>
                <w:szCs w:val="24"/>
              </w:rPr>
              <w:t xml:space="preserve"> has contracted or contracts adequate resources for common, coordinated and compliant operation of single day-ahead coupling and/or single intraday coupling, including the resources necessary to fulfil the NEMO functions, financial resources, the necessary information technology, technical infrastructure and operational procedures or it shall provide proof that it is able to make these resources available within a reasonable preparatory period before taking up its tasks in accordance with Article 7;</w:t>
            </w:r>
          </w:p>
          <w:p w:rsidR="003B2D34" w:rsidRDefault="003B2D34" w:rsidP="0066257F">
            <w:pPr>
              <w:jc w:val="both"/>
              <w:rPr>
                <w:rFonts w:ascii="Calibri" w:eastAsiaTheme="minorHAnsi" w:hAnsi="Calibri"/>
                <w:sz w:val="24"/>
                <w:lang w:val="en-GB" w:eastAsia="en-US"/>
              </w:rPr>
            </w:pPr>
          </w:p>
        </w:tc>
      </w:tr>
      <w:tr w:rsidR="003B2D34" w:rsidTr="0066257F">
        <w:tc>
          <w:tcPr>
            <w:tcW w:w="2235" w:type="dxa"/>
            <w:shd w:val="clear" w:color="auto" w:fill="92CDDC" w:themeFill="accent5" w:themeFillTint="99"/>
          </w:tcPr>
          <w:p w:rsidR="003B2D34" w:rsidRDefault="003B2D34" w:rsidP="0066257F">
            <w:pPr>
              <w:jc w:val="both"/>
              <w:rPr>
                <w:rFonts w:ascii="Calibri" w:eastAsiaTheme="minorHAnsi" w:hAnsi="Calibri"/>
                <w:sz w:val="24"/>
                <w:lang w:val="en-GB" w:eastAsia="en-US"/>
              </w:rPr>
            </w:pPr>
            <w:r>
              <w:rPr>
                <w:rFonts w:ascii="Calibri" w:eastAsiaTheme="minorHAnsi" w:hAnsi="Calibri"/>
                <w:sz w:val="24"/>
                <w:lang w:val="en-GB" w:eastAsia="en-US"/>
              </w:rPr>
              <w:t>6.1(b)</w:t>
            </w:r>
          </w:p>
        </w:tc>
        <w:tc>
          <w:tcPr>
            <w:tcW w:w="7007" w:type="dxa"/>
            <w:shd w:val="clear" w:color="auto" w:fill="92CDDC" w:themeFill="accent5" w:themeFillTint="99"/>
          </w:tcPr>
          <w:p w:rsidR="003B2D34" w:rsidRPr="003B75C2" w:rsidRDefault="003B2D34" w:rsidP="0066257F">
            <w:pPr>
              <w:pStyle w:val="Title1"/>
              <w:spacing w:after="200" w:line="276" w:lineRule="auto"/>
              <w:rPr>
                <w:rFonts w:ascii="Calibri" w:hAnsi="Calibri" w:cs="Calibri"/>
                <w:sz w:val="24"/>
                <w:szCs w:val="24"/>
              </w:rPr>
            </w:pPr>
            <w:r w:rsidRPr="003B75C2">
              <w:rPr>
                <w:rFonts w:ascii="Calibri" w:hAnsi="Calibri" w:cs="Calibri"/>
                <w:sz w:val="24"/>
                <w:szCs w:val="24"/>
              </w:rPr>
              <w:t xml:space="preserve">It </w:t>
            </w:r>
            <w:r>
              <w:rPr>
                <w:rFonts w:ascii="Calibri" w:hAnsi="Calibri" w:cs="Calibri"/>
                <w:sz w:val="24"/>
                <w:szCs w:val="24"/>
              </w:rPr>
              <w:t xml:space="preserve">[NEMO] </w:t>
            </w:r>
            <w:r w:rsidRPr="003B75C2">
              <w:rPr>
                <w:rFonts w:ascii="Calibri" w:hAnsi="Calibri" w:cs="Calibri"/>
                <w:sz w:val="24"/>
                <w:szCs w:val="24"/>
              </w:rPr>
              <w:t>shall be able to ensure that market participants have open access to information regarding the NEMO tasks in accordance with Article 7;</w:t>
            </w:r>
          </w:p>
          <w:p w:rsidR="003B2D34" w:rsidRDefault="003B2D34" w:rsidP="0066257F">
            <w:pPr>
              <w:jc w:val="both"/>
              <w:rPr>
                <w:rFonts w:ascii="Calibri" w:eastAsiaTheme="minorHAnsi" w:hAnsi="Calibri"/>
                <w:sz w:val="24"/>
                <w:lang w:val="en-GB" w:eastAsia="en-US"/>
              </w:rPr>
            </w:pPr>
          </w:p>
        </w:tc>
      </w:tr>
      <w:tr w:rsidR="003B2D34" w:rsidTr="0066257F">
        <w:tc>
          <w:tcPr>
            <w:tcW w:w="2235" w:type="dxa"/>
            <w:shd w:val="clear" w:color="auto" w:fill="92CDDC" w:themeFill="accent5" w:themeFillTint="99"/>
          </w:tcPr>
          <w:p w:rsidR="003B2D34" w:rsidRDefault="003B2D34" w:rsidP="0066257F">
            <w:pPr>
              <w:jc w:val="both"/>
              <w:rPr>
                <w:rFonts w:ascii="Calibri" w:eastAsiaTheme="minorHAnsi" w:hAnsi="Calibri"/>
                <w:sz w:val="24"/>
                <w:lang w:val="en-GB" w:eastAsia="en-US"/>
              </w:rPr>
            </w:pPr>
            <w:r>
              <w:rPr>
                <w:rFonts w:ascii="Calibri" w:eastAsiaTheme="minorHAnsi" w:hAnsi="Calibri"/>
                <w:sz w:val="24"/>
                <w:lang w:val="en-GB" w:eastAsia="en-US"/>
              </w:rPr>
              <w:t>6.1(c)</w:t>
            </w:r>
          </w:p>
        </w:tc>
        <w:tc>
          <w:tcPr>
            <w:tcW w:w="7007" w:type="dxa"/>
            <w:shd w:val="clear" w:color="auto" w:fill="92CDDC" w:themeFill="accent5" w:themeFillTint="99"/>
          </w:tcPr>
          <w:p w:rsidR="003B2D34" w:rsidRPr="003B75C2" w:rsidRDefault="003B2D34" w:rsidP="0066257F">
            <w:pPr>
              <w:pStyle w:val="Title1"/>
              <w:spacing w:after="200" w:line="276" w:lineRule="auto"/>
              <w:rPr>
                <w:rFonts w:ascii="Calibri" w:hAnsi="Calibri" w:cs="Calibri"/>
                <w:sz w:val="24"/>
                <w:szCs w:val="24"/>
              </w:rPr>
            </w:pPr>
            <w:r w:rsidRPr="003B75C2">
              <w:rPr>
                <w:rFonts w:ascii="Calibri" w:hAnsi="Calibri" w:cs="Calibri"/>
                <w:sz w:val="24"/>
                <w:szCs w:val="24"/>
              </w:rPr>
              <w:t xml:space="preserve">It </w:t>
            </w:r>
            <w:r>
              <w:rPr>
                <w:rFonts w:ascii="Calibri" w:hAnsi="Calibri" w:cs="Calibri"/>
                <w:sz w:val="24"/>
                <w:szCs w:val="24"/>
              </w:rPr>
              <w:t xml:space="preserve">[NEMO] </w:t>
            </w:r>
            <w:r w:rsidRPr="003B75C2">
              <w:rPr>
                <w:rFonts w:ascii="Calibri" w:hAnsi="Calibri" w:cs="Calibri"/>
                <w:sz w:val="24"/>
                <w:szCs w:val="24"/>
              </w:rPr>
              <w:t>shall be cost-efficient with respect to single day-ahead and intraday coupling and shall in their internal accounting keep separate accounts for MCO functions and other activities in order to prevent cross-subsidisation;</w:t>
            </w:r>
          </w:p>
          <w:p w:rsidR="003B2D34" w:rsidRDefault="003B2D34" w:rsidP="0066257F">
            <w:pPr>
              <w:jc w:val="both"/>
              <w:rPr>
                <w:rFonts w:ascii="Calibri" w:eastAsiaTheme="minorHAnsi" w:hAnsi="Calibri"/>
                <w:sz w:val="24"/>
                <w:lang w:val="en-GB" w:eastAsia="en-US"/>
              </w:rPr>
            </w:pPr>
          </w:p>
        </w:tc>
      </w:tr>
      <w:tr w:rsidR="003B2D34" w:rsidTr="0066257F">
        <w:tc>
          <w:tcPr>
            <w:tcW w:w="2235" w:type="dxa"/>
            <w:shd w:val="clear" w:color="auto" w:fill="92CDDC" w:themeFill="accent5" w:themeFillTint="99"/>
          </w:tcPr>
          <w:p w:rsidR="003B2D34" w:rsidRDefault="003B2D34" w:rsidP="0066257F">
            <w:pPr>
              <w:jc w:val="both"/>
              <w:rPr>
                <w:rFonts w:ascii="Calibri" w:eastAsiaTheme="minorHAnsi" w:hAnsi="Calibri"/>
                <w:sz w:val="24"/>
                <w:lang w:val="en-GB" w:eastAsia="en-US"/>
              </w:rPr>
            </w:pPr>
            <w:r>
              <w:rPr>
                <w:rFonts w:ascii="Calibri" w:eastAsiaTheme="minorHAnsi" w:hAnsi="Calibri"/>
                <w:sz w:val="24"/>
                <w:lang w:val="en-GB" w:eastAsia="en-US"/>
              </w:rPr>
              <w:t>6.1(d)</w:t>
            </w:r>
          </w:p>
        </w:tc>
        <w:tc>
          <w:tcPr>
            <w:tcW w:w="7007" w:type="dxa"/>
            <w:shd w:val="clear" w:color="auto" w:fill="92CDDC" w:themeFill="accent5" w:themeFillTint="99"/>
          </w:tcPr>
          <w:p w:rsidR="003B2D34" w:rsidRPr="003B75C2" w:rsidRDefault="003B2D34" w:rsidP="0066257F">
            <w:pPr>
              <w:pStyle w:val="Title1"/>
              <w:spacing w:after="200" w:line="276" w:lineRule="auto"/>
              <w:jc w:val="both"/>
              <w:rPr>
                <w:rFonts w:ascii="Calibri" w:hAnsi="Calibri" w:cs="Calibri"/>
                <w:sz w:val="24"/>
                <w:szCs w:val="24"/>
              </w:rPr>
            </w:pPr>
            <w:r w:rsidRPr="003B75C2">
              <w:rPr>
                <w:rFonts w:ascii="Calibri" w:hAnsi="Calibri" w:cs="Calibri"/>
                <w:sz w:val="24"/>
                <w:szCs w:val="24"/>
              </w:rPr>
              <w:t xml:space="preserve">It </w:t>
            </w:r>
            <w:r>
              <w:rPr>
                <w:rFonts w:ascii="Calibri" w:hAnsi="Calibri" w:cs="Calibri"/>
                <w:sz w:val="24"/>
                <w:szCs w:val="24"/>
              </w:rPr>
              <w:t xml:space="preserve">[NEMO] </w:t>
            </w:r>
            <w:r w:rsidRPr="003B75C2">
              <w:rPr>
                <w:rFonts w:ascii="Calibri" w:hAnsi="Calibri" w:cs="Calibri"/>
                <w:sz w:val="24"/>
                <w:szCs w:val="24"/>
              </w:rPr>
              <w:t>shall have an adequate level of business separation from other market participants;</w:t>
            </w:r>
          </w:p>
          <w:p w:rsidR="003B2D34" w:rsidRDefault="003B2D34" w:rsidP="0066257F">
            <w:pPr>
              <w:jc w:val="both"/>
              <w:rPr>
                <w:rFonts w:ascii="Calibri" w:eastAsiaTheme="minorHAnsi" w:hAnsi="Calibri"/>
                <w:sz w:val="24"/>
                <w:lang w:val="en-GB" w:eastAsia="en-US"/>
              </w:rPr>
            </w:pPr>
          </w:p>
        </w:tc>
      </w:tr>
      <w:tr w:rsidR="003B2D34" w:rsidTr="0066257F">
        <w:tc>
          <w:tcPr>
            <w:tcW w:w="2235" w:type="dxa"/>
            <w:shd w:val="clear" w:color="auto" w:fill="92CDDC" w:themeFill="accent5" w:themeFillTint="99"/>
          </w:tcPr>
          <w:p w:rsidR="003B2D34" w:rsidRDefault="003B2D34" w:rsidP="0066257F">
            <w:pPr>
              <w:jc w:val="both"/>
              <w:rPr>
                <w:rFonts w:ascii="Calibri" w:eastAsiaTheme="minorHAnsi" w:hAnsi="Calibri"/>
                <w:sz w:val="24"/>
                <w:lang w:val="en-GB" w:eastAsia="en-US"/>
              </w:rPr>
            </w:pPr>
            <w:r>
              <w:rPr>
                <w:rFonts w:ascii="Calibri" w:eastAsiaTheme="minorHAnsi" w:hAnsi="Calibri"/>
                <w:sz w:val="24"/>
                <w:lang w:val="en-GB" w:eastAsia="en-US"/>
              </w:rPr>
              <w:t>6.1(e)</w:t>
            </w:r>
          </w:p>
        </w:tc>
        <w:tc>
          <w:tcPr>
            <w:tcW w:w="7007" w:type="dxa"/>
            <w:shd w:val="clear" w:color="auto" w:fill="92CDDC" w:themeFill="accent5" w:themeFillTint="99"/>
          </w:tcPr>
          <w:p w:rsidR="003B2D34" w:rsidRDefault="003B2D34" w:rsidP="0066257F">
            <w:pPr>
              <w:pStyle w:val="Title1"/>
              <w:spacing w:after="200" w:line="276" w:lineRule="auto"/>
              <w:jc w:val="both"/>
              <w:rPr>
                <w:rFonts w:ascii="Calibri" w:eastAsiaTheme="minorHAnsi" w:hAnsi="Calibri"/>
                <w:sz w:val="24"/>
                <w:lang w:eastAsia="en-US"/>
              </w:rPr>
            </w:pPr>
            <w:r w:rsidRPr="003B75C2">
              <w:rPr>
                <w:rFonts w:ascii="Calibri" w:hAnsi="Calibri" w:cs="Calibri"/>
                <w:sz w:val="24"/>
                <w:szCs w:val="24"/>
              </w:rPr>
              <w:t>If designated as a national legal monopoly for day-ahead and intraday trading services in a Member State, it</w:t>
            </w:r>
            <w:r>
              <w:rPr>
                <w:rFonts w:ascii="Calibri" w:hAnsi="Calibri" w:cs="Calibri"/>
                <w:sz w:val="24"/>
                <w:szCs w:val="24"/>
              </w:rPr>
              <w:t xml:space="preserve"> [NEMO] </w:t>
            </w:r>
            <w:r w:rsidRPr="003B75C2">
              <w:rPr>
                <w:rFonts w:ascii="Calibri" w:hAnsi="Calibri" w:cs="Calibri"/>
                <w:sz w:val="24"/>
                <w:szCs w:val="24"/>
              </w:rPr>
              <w:t xml:space="preserve"> shall not use the fees in Article 5(1) to finance its day-ahead or intraday activities in a Member State other than the one</w:t>
            </w:r>
            <w:r>
              <w:rPr>
                <w:rFonts w:ascii="Calibri" w:hAnsi="Calibri" w:cs="Calibri"/>
                <w:sz w:val="24"/>
                <w:szCs w:val="24"/>
              </w:rPr>
              <w:t xml:space="preserve"> where these fees are collected;</w:t>
            </w:r>
            <w:r>
              <w:rPr>
                <w:rFonts w:ascii="Calibri" w:eastAsiaTheme="minorHAnsi" w:hAnsi="Calibri"/>
                <w:sz w:val="24"/>
                <w:lang w:eastAsia="en-US"/>
              </w:rPr>
              <w:t xml:space="preserve"> </w:t>
            </w:r>
          </w:p>
        </w:tc>
      </w:tr>
      <w:tr w:rsidR="003B2D34" w:rsidTr="0066257F">
        <w:tc>
          <w:tcPr>
            <w:tcW w:w="2235" w:type="dxa"/>
            <w:shd w:val="clear" w:color="auto" w:fill="92CDDC" w:themeFill="accent5" w:themeFillTint="99"/>
          </w:tcPr>
          <w:p w:rsidR="003B2D34" w:rsidRDefault="003B2D34" w:rsidP="0066257F">
            <w:pPr>
              <w:jc w:val="both"/>
              <w:rPr>
                <w:rFonts w:ascii="Calibri" w:eastAsiaTheme="minorHAnsi" w:hAnsi="Calibri"/>
                <w:sz w:val="24"/>
                <w:lang w:val="en-GB" w:eastAsia="en-US"/>
              </w:rPr>
            </w:pPr>
            <w:r>
              <w:rPr>
                <w:rFonts w:ascii="Calibri" w:eastAsiaTheme="minorHAnsi" w:hAnsi="Calibri"/>
                <w:sz w:val="24"/>
                <w:lang w:val="en-GB" w:eastAsia="en-US"/>
              </w:rPr>
              <w:t>6.1(f)</w:t>
            </w:r>
          </w:p>
        </w:tc>
        <w:tc>
          <w:tcPr>
            <w:tcW w:w="7007" w:type="dxa"/>
            <w:shd w:val="clear" w:color="auto" w:fill="92CDDC" w:themeFill="accent5" w:themeFillTint="99"/>
          </w:tcPr>
          <w:p w:rsidR="003B2D34" w:rsidRPr="003B75C2" w:rsidRDefault="003B2D34" w:rsidP="0066257F">
            <w:pPr>
              <w:pStyle w:val="Title1"/>
              <w:spacing w:after="200" w:line="276" w:lineRule="auto"/>
              <w:jc w:val="both"/>
              <w:rPr>
                <w:rFonts w:ascii="Calibri" w:hAnsi="Calibri" w:cs="Calibri"/>
                <w:sz w:val="24"/>
                <w:szCs w:val="24"/>
              </w:rPr>
            </w:pPr>
            <w:r w:rsidRPr="003B75C2">
              <w:rPr>
                <w:rFonts w:ascii="Calibri" w:hAnsi="Calibri" w:cs="Calibri"/>
                <w:sz w:val="24"/>
                <w:szCs w:val="24"/>
              </w:rPr>
              <w:t xml:space="preserve">It </w:t>
            </w:r>
            <w:r>
              <w:rPr>
                <w:rFonts w:ascii="Calibri" w:hAnsi="Calibri" w:cs="Calibri"/>
                <w:sz w:val="24"/>
                <w:szCs w:val="24"/>
              </w:rPr>
              <w:t xml:space="preserve">[NEMO] </w:t>
            </w:r>
            <w:r w:rsidRPr="003B75C2">
              <w:rPr>
                <w:rFonts w:ascii="Calibri" w:hAnsi="Calibri" w:cs="Calibri"/>
                <w:sz w:val="24"/>
                <w:szCs w:val="24"/>
              </w:rPr>
              <w:t>shall be able to treat all market participants in a non-discriminatory way;</w:t>
            </w:r>
          </w:p>
          <w:p w:rsidR="003B2D34" w:rsidRDefault="003B2D34" w:rsidP="0066257F">
            <w:pPr>
              <w:jc w:val="both"/>
              <w:rPr>
                <w:rFonts w:ascii="Calibri" w:eastAsiaTheme="minorHAnsi" w:hAnsi="Calibri"/>
                <w:sz w:val="24"/>
                <w:lang w:val="en-GB" w:eastAsia="en-US"/>
              </w:rPr>
            </w:pPr>
          </w:p>
        </w:tc>
      </w:tr>
      <w:tr w:rsidR="003B2D34" w:rsidTr="0066257F">
        <w:tc>
          <w:tcPr>
            <w:tcW w:w="2235" w:type="dxa"/>
            <w:shd w:val="clear" w:color="auto" w:fill="92CDDC" w:themeFill="accent5" w:themeFillTint="99"/>
          </w:tcPr>
          <w:p w:rsidR="003B2D34" w:rsidRDefault="003B2D34" w:rsidP="0066257F">
            <w:pPr>
              <w:jc w:val="both"/>
              <w:rPr>
                <w:rFonts w:ascii="Calibri" w:eastAsiaTheme="minorHAnsi" w:hAnsi="Calibri"/>
                <w:sz w:val="24"/>
                <w:lang w:val="en-GB" w:eastAsia="en-US"/>
              </w:rPr>
            </w:pPr>
            <w:r>
              <w:rPr>
                <w:rFonts w:ascii="Calibri" w:eastAsiaTheme="minorHAnsi" w:hAnsi="Calibri"/>
                <w:sz w:val="24"/>
                <w:lang w:val="en-GB" w:eastAsia="en-US"/>
              </w:rPr>
              <w:t>6.1(g)</w:t>
            </w:r>
          </w:p>
        </w:tc>
        <w:tc>
          <w:tcPr>
            <w:tcW w:w="7007" w:type="dxa"/>
            <w:shd w:val="clear" w:color="auto" w:fill="92CDDC" w:themeFill="accent5" w:themeFillTint="99"/>
          </w:tcPr>
          <w:p w:rsidR="003B2D34" w:rsidRPr="003B75C2" w:rsidRDefault="003B2D34" w:rsidP="0066257F">
            <w:pPr>
              <w:pStyle w:val="Title1"/>
              <w:spacing w:after="200" w:line="276" w:lineRule="auto"/>
              <w:jc w:val="both"/>
              <w:rPr>
                <w:rFonts w:ascii="Calibri" w:hAnsi="Calibri" w:cs="Calibri"/>
                <w:sz w:val="24"/>
                <w:szCs w:val="24"/>
              </w:rPr>
            </w:pPr>
            <w:r w:rsidRPr="003B75C2">
              <w:rPr>
                <w:rFonts w:ascii="Calibri" w:hAnsi="Calibri" w:cs="Calibri"/>
                <w:sz w:val="24"/>
                <w:szCs w:val="24"/>
              </w:rPr>
              <w:t xml:space="preserve">It </w:t>
            </w:r>
            <w:r>
              <w:rPr>
                <w:rFonts w:ascii="Calibri" w:hAnsi="Calibri" w:cs="Calibri"/>
                <w:sz w:val="24"/>
                <w:szCs w:val="24"/>
              </w:rPr>
              <w:t xml:space="preserve">[NEMO] </w:t>
            </w:r>
            <w:r w:rsidRPr="003B75C2">
              <w:rPr>
                <w:rFonts w:ascii="Calibri" w:hAnsi="Calibri" w:cs="Calibri"/>
                <w:sz w:val="24"/>
                <w:szCs w:val="24"/>
              </w:rPr>
              <w:t>shall be subject to appropriate market surveillance arrangements;</w:t>
            </w:r>
          </w:p>
          <w:p w:rsidR="003B2D34" w:rsidRDefault="003B2D34" w:rsidP="0066257F">
            <w:pPr>
              <w:jc w:val="both"/>
              <w:rPr>
                <w:rFonts w:ascii="Calibri" w:eastAsiaTheme="minorHAnsi" w:hAnsi="Calibri"/>
                <w:sz w:val="24"/>
                <w:lang w:val="en-GB" w:eastAsia="en-US"/>
              </w:rPr>
            </w:pPr>
          </w:p>
        </w:tc>
      </w:tr>
      <w:tr w:rsidR="003B2D34" w:rsidTr="0066257F">
        <w:tc>
          <w:tcPr>
            <w:tcW w:w="2235" w:type="dxa"/>
            <w:shd w:val="clear" w:color="auto" w:fill="92CDDC" w:themeFill="accent5" w:themeFillTint="99"/>
          </w:tcPr>
          <w:p w:rsidR="003B2D34" w:rsidRDefault="003B2D34" w:rsidP="0066257F">
            <w:pPr>
              <w:jc w:val="both"/>
              <w:rPr>
                <w:rFonts w:ascii="Calibri" w:eastAsiaTheme="minorHAnsi" w:hAnsi="Calibri"/>
                <w:sz w:val="24"/>
                <w:lang w:val="en-GB" w:eastAsia="en-US"/>
              </w:rPr>
            </w:pPr>
            <w:r>
              <w:rPr>
                <w:rFonts w:ascii="Calibri" w:eastAsiaTheme="minorHAnsi" w:hAnsi="Calibri"/>
                <w:sz w:val="24"/>
                <w:lang w:val="en-GB" w:eastAsia="en-US"/>
              </w:rPr>
              <w:t>6.1(h)</w:t>
            </w:r>
          </w:p>
        </w:tc>
        <w:tc>
          <w:tcPr>
            <w:tcW w:w="7007" w:type="dxa"/>
            <w:shd w:val="clear" w:color="auto" w:fill="92CDDC" w:themeFill="accent5" w:themeFillTint="99"/>
          </w:tcPr>
          <w:p w:rsidR="003B2D34" w:rsidRDefault="003B2D34" w:rsidP="0066257F">
            <w:pPr>
              <w:pStyle w:val="Title1"/>
              <w:spacing w:after="200" w:line="276" w:lineRule="auto"/>
              <w:jc w:val="both"/>
              <w:rPr>
                <w:rFonts w:ascii="Calibri" w:eastAsiaTheme="minorHAnsi" w:hAnsi="Calibri"/>
                <w:sz w:val="24"/>
                <w:lang w:eastAsia="en-US"/>
              </w:rPr>
            </w:pPr>
            <w:r w:rsidRPr="003B75C2">
              <w:rPr>
                <w:rFonts w:ascii="Calibri" w:hAnsi="Calibri" w:cs="Calibri"/>
                <w:sz w:val="24"/>
                <w:szCs w:val="24"/>
              </w:rPr>
              <w:t>It</w:t>
            </w:r>
            <w:r>
              <w:rPr>
                <w:rFonts w:ascii="Calibri" w:hAnsi="Calibri" w:cs="Calibri"/>
                <w:sz w:val="24"/>
                <w:szCs w:val="24"/>
              </w:rPr>
              <w:t xml:space="preserve"> [NEMO] </w:t>
            </w:r>
            <w:r w:rsidRPr="003B75C2">
              <w:rPr>
                <w:rFonts w:ascii="Calibri" w:hAnsi="Calibri" w:cs="Calibri"/>
                <w:sz w:val="24"/>
                <w:szCs w:val="24"/>
              </w:rPr>
              <w:t xml:space="preserve">shall have in place appropriate transparency and </w:t>
            </w:r>
            <w:r w:rsidRPr="003B75C2">
              <w:rPr>
                <w:rFonts w:ascii="Calibri" w:hAnsi="Calibri" w:cs="Calibri"/>
                <w:sz w:val="24"/>
                <w:szCs w:val="24"/>
              </w:rPr>
              <w:lastRenderedPageBreak/>
              <w:t>confidentiality agreements with market participants and the TSOs;</w:t>
            </w:r>
            <w:r>
              <w:rPr>
                <w:rFonts w:ascii="Calibri" w:eastAsiaTheme="minorHAnsi" w:hAnsi="Calibri"/>
                <w:sz w:val="24"/>
                <w:lang w:eastAsia="en-US"/>
              </w:rPr>
              <w:t xml:space="preserve"> </w:t>
            </w:r>
          </w:p>
        </w:tc>
      </w:tr>
      <w:tr w:rsidR="003B2D34" w:rsidTr="0066257F">
        <w:tc>
          <w:tcPr>
            <w:tcW w:w="2235" w:type="dxa"/>
            <w:shd w:val="clear" w:color="auto" w:fill="92CDDC" w:themeFill="accent5" w:themeFillTint="99"/>
          </w:tcPr>
          <w:p w:rsidR="003B2D34" w:rsidRDefault="003B2D34" w:rsidP="0066257F">
            <w:pPr>
              <w:jc w:val="both"/>
              <w:rPr>
                <w:rFonts w:ascii="Calibri" w:eastAsiaTheme="minorHAnsi" w:hAnsi="Calibri"/>
                <w:sz w:val="24"/>
                <w:lang w:val="en-GB" w:eastAsia="en-US"/>
              </w:rPr>
            </w:pPr>
            <w:r>
              <w:rPr>
                <w:rFonts w:ascii="Calibri" w:eastAsiaTheme="minorHAnsi" w:hAnsi="Calibri"/>
                <w:sz w:val="24"/>
                <w:lang w:val="en-GB" w:eastAsia="en-US"/>
              </w:rPr>
              <w:lastRenderedPageBreak/>
              <w:t>6.1(i)</w:t>
            </w:r>
          </w:p>
        </w:tc>
        <w:tc>
          <w:tcPr>
            <w:tcW w:w="7007" w:type="dxa"/>
            <w:shd w:val="clear" w:color="auto" w:fill="92CDDC" w:themeFill="accent5" w:themeFillTint="99"/>
          </w:tcPr>
          <w:p w:rsidR="003B2D34" w:rsidRPr="003B75C2" w:rsidRDefault="003B2D34" w:rsidP="0066257F">
            <w:pPr>
              <w:pStyle w:val="Title1"/>
              <w:spacing w:after="200" w:line="276" w:lineRule="auto"/>
              <w:jc w:val="both"/>
              <w:rPr>
                <w:rFonts w:ascii="Calibri" w:hAnsi="Calibri" w:cs="Calibri"/>
                <w:sz w:val="24"/>
                <w:szCs w:val="24"/>
              </w:rPr>
            </w:pPr>
            <w:r w:rsidRPr="003B75C2">
              <w:rPr>
                <w:rFonts w:ascii="Calibri" w:hAnsi="Calibri" w:cs="Calibri"/>
                <w:sz w:val="24"/>
                <w:szCs w:val="24"/>
              </w:rPr>
              <w:t xml:space="preserve">It </w:t>
            </w:r>
            <w:r>
              <w:rPr>
                <w:rFonts w:ascii="Calibri" w:hAnsi="Calibri" w:cs="Calibri"/>
                <w:sz w:val="24"/>
                <w:szCs w:val="24"/>
              </w:rPr>
              <w:t xml:space="preserve">[NEMO] </w:t>
            </w:r>
            <w:r w:rsidRPr="003B75C2">
              <w:rPr>
                <w:rFonts w:ascii="Calibri" w:hAnsi="Calibri" w:cs="Calibri"/>
                <w:sz w:val="24"/>
                <w:szCs w:val="24"/>
              </w:rPr>
              <w:t>shall be able to provide the necessary clearing and settlement services;</w:t>
            </w:r>
          </w:p>
          <w:p w:rsidR="003B2D34" w:rsidRDefault="003B2D34" w:rsidP="0066257F">
            <w:pPr>
              <w:jc w:val="both"/>
              <w:rPr>
                <w:rFonts w:ascii="Calibri" w:eastAsiaTheme="minorHAnsi" w:hAnsi="Calibri"/>
                <w:sz w:val="24"/>
                <w:lang w:val="en-GB" w:eastAsia="en-US"/>
              </w:rPr>
            </w:pPr>
          </w:p>
        </w:tc>
      </w:tr>
      <w:tr w:rsidR="003B2D34" w:rsidTr="0066257F">
        <w:tc>
          <w:tcPr>
            <w:tcW w:w="2235" w:type="dxa"/>
            <w:shd w:val="clear" w:color="auto" w:fill="92CDDC" w:themeFill="accent5" w:themeFillTint="99"/>
          </w:tcPr>
          <w:p w:rsidR="003B2D34" w:rsidRDefault="003B2D34" w:rsidP="0066257F">
            <w:pPr>
              <w:jc w:val="both"/>
              <w:rPr>
                <w:rFonts w:ascii="Calibri" w:eastAsiaTheme="minorHAnsi" w:hAnsi="Calibri"/>
                <w:sz w:val="24"/>
                <w:lang w:val="en-GB" w:eastAsia="en-US"/>
              </w:rPr>
            </w:pPr>
            <w:r>
              <w:rPr>
                <w:rFonts w:ascii="Calibri" w:eastAsiaTheme="minorHAnsi" w:hAnsi="Calibri"/>
                <w:sz w:val="24"/>
                <w:lang w:val="en-GB" w:eastAsia="en-US"/>
              </w:rPr>
              <w:t>6.1(j)</w:t>
            </w:r>
          </w:p>
        </w:tc>
        <w:tc>
          <w:tcPr>
            <w:tcW w:w="7007" w:type="dxa"/>
            <w:shd w:val="clear" w:color="auto" w:fill="92CDDC" w:themeFill="accent5" w:themeFillTint="99"/>
          </w:tcPr>
          <w:p w:rsidR="003B2D34" w:rsidRPr="003B75C2" w:rsidRDefault="003B2D34" w:rsidP="0066257F">
            <w:pPr>
              <w:pStyle w:val="Title1"/>
              <w:spacing w:after="200" w:line="276" w:lineRule="auto"/>
              <w:jc w:val="both"/>
              <w:rPr>
                <w:rFonts w:ascii="Calibri" w:hAnsi="Calibri" w:cs="Calibri"/>
                <w:sz w:val="24"/>
                <w:szCs w:val="24"/>
              </w:rPr>
            </w:pPr>
            <w:r w:rsidRPr="003B75C2">
              <w:rPr>
                <w:rFonts w:ascii="Calibri" w:hAnsi="Calibri" w:cs="Calibri"/>
                <w:sz w:val="24"/>
                <w:szCs w:val="24"/>
              </w:rPr>
              <w:t xml:space="preserve">It </w:t>
            </w:r>
            <w:r>
              <w:rPr>
                <w:rFonts w:ascii="Calibri" w:hAnsi="Calibri" w:cs="Calibri"/>
                <w:sz w:val="24"/>
                <w:szCs w:val="24"/>
              </w:rPr>
              <w:t xml:space="preserve">[NEMO] </w:t>
            </w:r>
            <w:r w:rsidRPr="003B75C2">
              <w:rPr>
                <w:rFonts w:ascii="Calibri" w:hAnsi="Calibri" w:cs="Calibri"/>
                <w:sz w:val="24"/>
                <w:szCs w:val="24"/>
              </w:rPr>
              <w:t>shall be able to put in place the necessary communication systems and routines for coordinating with the TSOs of the Member State;</w:t>
            </w:r>
          </w:p>
          <w:p w:rsidR="003B2D34" w:rsidRDefault="003B2D34" w:rsidP="0066257F">
            <w:pPr>
              <w:jc w:val="both"/>
              <w:rPr>
                <w:rFonts w:ascii="Calibri" w:eastAsiaTheme="minorHAnsi" w:hAnsi="Calibri"/>
                <w:sz w:val="24"/>
                <w:lang w:val="en-GB" w:eastAsia="en-US"/>
              </w:rPr>
            </w:pPr>
          </w:p>
        </w:tc>
      </w:tr>
      <w:tr w:rsidR="00FF7E2A" w:rsidTr="0066257F">
        <w:tc>
          <w:tcPr>
            <w:tcW w:w="2235" w:type="dxa"/>
            <w:shd w:val="clear" w:color="auto" w:fill="92CDDC" w:themeFill="accent5" w:themeFillTint="99"/>
          </w:tcPr>
          <w:p w:rsidR="00FF7E2A" w:rsidRDefault="00FF7E2A" w:rsidP="0066257F">
            <w:pPr>
              <w:jc w:val="both"/>
              <w:rPr>
                <w:rFonts w:ascii="Calibri" w:eastAsiaTheme="minorHAnsi" w:hAnsi="Calibri"/>
                <w:sz w:val="24"/>
                <w:lang w:val="en-GB" w:eastAsia="en-US"/>
              </w:rPr>
            </w:pPr>
            <w:r>
              <w:rPr>
                <w:rFonts w:ascii="Calibri" w:eastAsiaTheme="minorHAnsi" w:hAnsi="Calibri"/>
                <w:sz w:val="24"/>
                <w:lang w:val="en-GB" w:eastAsia="en-US"/>
              </w:rPr>
              <w:t>6.2</w:t>
            </w:r>
          </w:p>
        </w:tc>
        <w:tc>
          <w:tcPr>
            <w:tcW w:w="7007" w:type="dxa"/>
            <w:shd w:val="clear" w:color="auto" w:fill="92CDDC" w:themeFill="accent5" w:themeFillTint="99"/>
          </w:tcPr>
          <w:p w:rsidR="00FF7E2A" w:rsidRPr="004E469A" w:rsidRDefault="00FF7E2A" w:rsidP="0066257F">
            <w:pPr>
              <w:pStyle w:val="Title1"/>
              <w:spacing w:after="200" w:line="276" w:lineRule="auto"/>
              <w:jc w:val="both"/>
              <w:rPr>
                <w:rFonts w:ascii="Calibri" w:eastAsiaTheme="minorHAnsi" w:hAnsi="Calibri" w:cstheme="minorBidi"/>
                <w:sz w:val="24"/>
                <w:szCs w:val="22"/>
                <w:lang w:eastAsia="en-US"/>
              </w:rPr>
            </w:pPr>
            <w:r w:rsidRPr="004E469A">
              <w:rPr>
                <w:rFonts w:ascii="Calibri" w:eastAsiaTheme="minorHAnsi" w:hAnsi="Calibri" w:cstheme="minorBidi"/>
                <w:sz w:val="24"/>
                <w:szCs w:val="22"/>
                <w:lang w:eastAsia="en-US"/>
              </w:rPr>
              <w:t>The designation shall be applied in such a way that competition between NEMOs is organised in a fair and non-discriminatory manner.</w:t>
            </w:r>
          </w:p>
        </w:tc>
      </w:tr>
    </w:tbl>
    <w:p w:rsidR="00285B4C" w:rsidRDefault="00285B4C"/>
    <w:p w:rsidR="009D22AF" w:rsidRDefault="009D22AF"/>
    <w:sectPr w:rsidR="009D22AF" w:rsidSect="000B1F6F">
      <w:headerReference w:type="default" r:id="rId11"/>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BD4" w:rsidRDefault="00261BD4" w:rsidP="001C6694">
      <w:pPr>
        <w:spacing w:after="0" w:line="240" w:lineRule="auto"/>
      </w:pPr>
      <w:r>
        <w:separator/>
      </w:r>
    </w:p>
  </w:endnote>
  <w:endnote w:type="continuationSeparator" w:id="0">
    <w:p w:rsidR="00261BD4" w:rsidRDefault="00261BD4" w:rsidP="001C66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DE5" w:rsidRDefault="00E66DA8">
    <w:pPr>
      <w:pStyle w:val="Footer"/>
      <w:framePr w:wrap="around" w:vAnchor="text" w:hAnchor="margin" w:xAlign="right" w:y="1"/>
      <w:rPr>
        <w:rStyle w:val="PageNumber"/>
      </w:rPr>
    </w:pPr>
    <w:r>
      <w:rPr>
        <w:rStyle w:val="PageNumber"/>
      </w:rPr>
      <w:fldChar w:fldCharType="begin"/>
    </w:r>
    <w:r w:rsidR="00DA1DE5">
      <w:rPr>
        <w:rStyle w:val="PageNumber"/>
      </w:rPr>
      <w:instrText xml:space="preserve">PAGE  </w:instrText>
    </w:r>
    <w:r>
      <w:rPr>
        <w:rStyle w:val="PageNumber"/>
      </w:rPr>
      <w:fldChar w:fldCharType="end"/>
    </w:r>
  </w:p>
  <w:p w:rsidR="00DA1DE5" w:rsidRDefault="00DA1DE5">
    <w:pPr>
      <w:pStyle w:val="Footer"/>
      <w:ind w:right="360"/>
    </w:pPr>
  </w:p>
  <w:p w:rsidR="00DA1DE5" w:rsidRDefault="00DA1DE5"/>
  <w:p w:rsidR="00DA1DE5" w:rsidRDefault="00DA1DE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DE5" w:rsidRDefault="00E66DA8">
    <w:pPr>
      <w:pStyle w:val="Footer"/>
      <w:framePr w:wrap="around" w:vAnchor="text" w:hAnchor="margin" w:xAlign="right" w:y="1"/>
      <w:rPr>
        <w:rStyle w:val="PageNumber"/>
      </w:rPr>
    </w:pPr>
    <w:r>
      <w:rPr>
        <w:rStyle w:val="PageNumber"/>
      </w:rPr>
      <w:fldChar w:fldCharType="begin"/>
    </w:r>
    <w:r w:rsidR="00DA1DE5">
      <w:rPr>
        <w:rStyle w:val="PageNumber"/>
      </w:rPr>
      <w:instrText xml:space="preserve">PAGE  </w:instrText>
    </w:r>
    <w:r>
      <w:rPr>
        <w:rStyle w:val="PageNumber"/>
      </w:rPr>
      <w:fldChar w:fldCharType="separate"/>
    </w:r>
    <w:r w:rsidR="00E00B40">
      <w:rPr>
        <w:rStyle w:val="PageNumber"/>
        <w:noProof/>
      </w:rPr>
      <w:t>1</w:t>
    </w:r>
    <w:r>
      <w:rPr>
        <w:rStyle w:val="PageNumber"/>
      </w:rPr>
      <w:fldChar w:fldCharType="end"/>
    </w:r>
  </w:p>
  <w:p w:rsidR="00DA1DE5" w:rsidRDefault="00DA1DE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BD4" w:rsidRDefault="00261BD4" w:rsidP="001C6694">
      <w:pPr>
        <w:spacing w:after="0" w:line="240" w:lineRule="auto"/>
      </w:pPr>
      <w:r>
        <w:separator/>
      </w:r>
    </w:p>
  </w:footnote>
  <w:footnote w:type="continuationSeparator" w:id="0">
    <w:p w:rsidR="00261BD4" w:rsidRDefault="00261BD4" w:rsidP="001C6694">
      <w:pPr>
        <w:spacing w:after="0" w:line="240" w:lineRule="auto"/>
      </w:pPr>
      <w:r>
        <w:continuationSeparator/>
      </w:r>
    </w:p>
  </w:footnote>
  <w:footnote w:id="1">
    <w:p w:rsidR="00DA1DE5" w:rsidRDefault="00DA1DE5">
      <w:pPr>
        <w:pStyle w:val="FootnoteText"/>
      </w:pPr>
      <w:r>
        <w:rPr>
          <w:rStyle w:val="FootnoteReference"/>
        </w:rPr>
        <w:footnoteRef/>
      </w:r>
      <w:r>
        <w:t xml:space="preserve"> Commission for Energy Regulation &amp; Utility Regulator</w:t>
      </w:r>
    </w:p>
  </w:footnote>
  <w:footnote w:id="2">
    <w:p w:rsidR="00DA1DE5" w:rsidRPr="004E469A" w:rsidRDefault="00DA1DE5">
      <w:pPr>
        <w:pStyle w:val="FootnoteText"/>
        <w:rPr>
          <w:rFonts w:ascii="Arial" w:eastAsiaTheme="minorHAnsi" w:hAnsi="Arial" w:cs="Arial"/>
          <w:color w:val="0C5C19"/>
          <w:lang w:val="en-US"/>
        </w:rPr>
      </w:pPr>
      <w:r>
        <w:rPr>
          <w:rStyle w:val="FootnoteReference"/>
        </w:rPr>
        <w:footnoteRef/>
      </w:r>
      <w:r>
        <w:t xml:space="preserve"> </w:t>
      </w:r>
      <w:r>
        <w:rPr>
          <w:lang w:val="en-GB"/>
        </w:rPr>
        <w:t xml:space="preserve">It should be noted that in the Invitation for NEMO applications for I-SEM (SEM-15-033n) published on 13 May 2015, and with reference to a letter received from DCENR to the Commission for Energy Regulation (CER), the Regulatory Authorities indicated that Ireland did not intend to involve Article 5 of CACM; with reference to a letter received from DETI to the Utility Regulation, the RAS confirmed that a National Legal Monopoly does not exist in Northern Ireland.  Accordingly both RAs indicated that they would follow the NEMO designation process outlined in Article 6 of CACM.  See: </w:t>
      </w:r>
      <w:hyperlink r:id="rId1" w:history="1">
        <w:r w:rsidRPr="005748FD">
          <w:rPr>
            <w:rStyle w:val="Hyperlink"/>
            <w:rFonts w:ascii="Arial" w:eastAsiaTheme="minorHAnsi" w:hAnsi="Arial" w:cs="Arial"/>
            <w:lang w:val="en-US"/>
          </w:rPr>
          <w:t>w</w:t>
        </w:r>
        <w:r w:rsidRPr="004E469A">
          <w:rPr>
            <w:rStyle w:val="Hyperlink"/>
            <w:lang w:val="en-GB"/>
          </w:rPr>
          <w:t>ww.uregni.gov.uk/.../Invite_for_NEMO_applications_for_I-SEM.pdf</w:t>
        </w:r>
      </w:hyperlink>
      <w:r>
        <w:rPr>
          <w:rFonts w:ascii="Arial" w:eastAsiaTheme="minorHAnsi" w:hAnsi="Arial" w:cs="Arial"/>
          <w:color w:val="0C5C19"/>
          <w:lang w:val="en-US"/>
        </w:rPr>
        <w:t xml:space="preserve">  </w:t>
      </w:r>
      <w:r w:rsidRPr="004E469A">
        <w:rPr>
          <w:lang w:val="en-GB"/>
        </w:rPr>
        <w:t>and</w:t>
      </w:r>
      <w:r>
        <w:rPr>
          <w:rFonts w:ascii="Arial" w:eastAsiaTheme="minorHAnsi" w:hAnsi="Arial" w:cs="Arial"/>
          <w:color w:val="0C5C19"/>
          <w:lang w:val="en-US"/>
        </w:rPr>
        <w:t xml:space="preserve"> </w:t>
      </w:r>
      <w:hyperlink r:id="rId2" w:history="1">
        <w:r w:rsidRPr="009C1C23">
          <w:rPr>
            <w:rStyle w:val="Hyperlink"/>
            <w:lang w:val="en-GB"/>
          </w:rPr>
          <w:t>http://www.allislandproject.org/enTS_Current_Consulations.aspx?article=5d17226-e065-4bba-9ff-980512012c885&amp;mode=author</w:t>
        </w:r>
      </w:hyperlink>
      <w:r>
        <w:rPr>
          <w:lang w:val="en-GB"/>
        </w:rPr>
        <w:t xml:space="preserve"> </w:t>
      </w:r>
    </w:p>
  </w:footnote>
  <w:footnote w:id="3">
    <w:p w:rsidR="00DA1DE5" w:rsidRPr="00242E4D" w:rsidRDefault="00DA1DE5">
      <w:pPr>
        <w:pStyle w:val="FootnoteText"/>
        <w:rPr>
          <w:lang w:val="en-GB"/>
        </w:rPr>
      </w:pPr>
      <w:r>
        <w:rPr>
          <w:rStyle w:val="FootnoteReference"/>
        </w:rPr>
        <w:footnoteRef/>
      </w:r>
      <w:r>
        <w:t xml:space="preserve"> </w:t>
      </w:r>
      <w:hyperlink r:id="rId3" w:history="1">
        <w:r>
          <w:rPr>
            <w:rStyle w:val="Hyperlink"/>
            <w:lang w:val="en-GB"/>
          </w:rPr>
          <w:t>http://www2.nationalgrid.com/UK/Industry-information/Electricity-codes/European-network-code/Decision-letters/</w:t>
        </w:r>
      </w:hyperlink>
    </w:p>
  </w:footnote>
  <w:footnote w:id="4">
    <w:p w:rsidR="00DA1DE5" w:rsidRPr="004E469A" w:rsidRDefault="00DA1DE5">
      <w:pPr>
        <w:pStyle w:val="FootnoteText"/>
        <w:rPr>
          <w:lang w:val="en-GB"/>
        </w:rPr>
      </w:pPr>
      <w:r>
        <w:rPr>
          <w:rStyle w:val="FootnoteReference"/>
        </w:rPr>
        <w:footnoteRef/>
      </w:r>
      <w:r>
        <w:t xml:space="preserve"> </w:t>
      </w:r>
      <w:r>
        <w:rPr>
          <w:lang w:val="en-GB"/>
        </w:rPr>
        <w:t>See footnote 3 above.</w:t>
      </w:r>
    </w:p>
  </w:footnote>
  <w:footnote w:id="5">
    <w:p w:rsidR="00DA1DE5" w:rsidRPr="008B10D8" w:rsidRDefault="00DA1DE5">
      <w:pPr>
        <w:pStyle w:val="FootnoteText"/>
        <w:rPr>
          <w:lang w:val="en-GB"/>
        </w:rPr>
      </w:pPr>
      <w:r>
        <w:rPr>
          <w:rStyle w:val="FootnoteReference"/>
        </w:rPr>
        <w:footnoteRef/>
      </w:r>
      <w:r>
        <w:t xml:space="preserve"> Balancing Market Operator activity is carried out through Elexon, a subsidiary of National Grid and Elexon’s activities are mandated in the Balancing and Settlement Code.</w:t>
      </w:r>
    </w:p>
  </w:footnote>
  <w:footnote w:id="6">
    <w:p w:rsidR="00DA1DE5" w:rsidRDefault="00DA1DE5">
      <w:pPr>
        <w:pStyle w:val="FootnoteText"/>
      </w:pPr>
      <w:r>
        <w:rPr>
          <w:rStyle w:val="FootnoteReference"/>
        </w:rPr>
        <w:footnoteRef/>
      </w:r>
      <w:r>
        <w:t xml:space="preserve"> Section 14(2E) of the Electricity Regulation Act 1999</w:t>
      </w:r>
    </w:p>
  </w:footnote>
  <w:footnote w:id="7">
    <w:p w:rsidR="00DA1DE5" w:rsidRPr="007F330A" w:rsidRDefault="00DA1DE5">
      <w:pPr>
        <w:pStyle w:val="FootnoteText"/>
        <w:rPr>
          <w:lang w:val="en-GB"/>
        </w:rPr>
      </w:pPr>
      <w:r>
        <w:rPr>
          <w:rStyle w:val="FootnoteReference"/>
        </w:rPr>
        <w:footnoteRef/>
      </w:r>
      <w:r>
        <w:t xml:space="preserve"> </w:t>
      </w:r>
      <w:r>
        <w:rPr>
          <w:lang w:val="en-GB"/>
        </w:rPr>
        <w:t>According to article 5(1) “If a Member State refuses the designation of more than one NEMO per bidding zone, the competent national authority shall fix or approve the NEMO fees for trading in the day-ahead and intraday markets, sufficiently in advance of their entry into force, or specify the methodologies used to calculate them.”</w:t>
      </w:r>
    </w:p>
  </w:footnote>
  <w:footnote w:id="8">
    <w:p w:rsidR="00DA1DE5" w:rsidRPr="00B10A1B" w:rsidRDefault="00DA1DE5">
      <w:pPr>
        <w:pStyle w:val="FootnoteText"/>
        <w:rPr>
          <w:lang w:val="en-GB"/>
        </w:rPr>
      </w:pPr>
      <w:r>
        <w:rPr>
          <w:rStyle w:val="FootnoteReference"/>
        </w:rPr>
        <w:footnoteRef/>
      </w:r>
      <w:r>
        <w:t xml:space="preserve"> </w:t>
      </w:r>
      <w:r>
        <w:rPr>
          <w:lang w:val="en-GB"/>
        </w:rPr>
        <w:t xml:space="preserve"> It should be noted that given that ECC’s M7 Platform may not support dual currency for ID Continuous for Go-Live, that a transitional provision may be needed to deal with this discrepancy until this dual currency can be accommodated.  Further discussion on this is required with TSOs.</w:t>
      </w:r>
    </w:p>
  </w:footnote>
  <w:footnote w:id="9">
    <w:p w:rsidR="00DA1DE5" w:rsidRPr="004E469A" w:rsidRDefault="00DA1DE5">
      <w:pPr>
        <w:pStyle w:val="FootnoteText"/>
        <w:rPr>
          <w:lang w:val="en-GB"/>
        </w:rPr>
      </w:pPr>
      <w:r>
        <w:rPr>
          <w:rStyle w:val="FootnoteReference"/>
        </w:rPr>
        <w:footnoteRef/>
      </w:r>
      <w:r>
        <w:t xml:space="preserve"> See Euphemia Commercial Phase Report: </w:t>
      </w:r>
      <w:hyperlink r:id="rId4" w:history="1">
        <w:r w:rsidRPr="005748FD">
          <w:rPr>
            <w:rStyle w:val="Hyperlink"/>
          </w:rPr>
          <w:t>http://www.sem-o.com/Publications/General/EUPHEMIA%20Trial%20-%20Commercial%20Phase%20Report.pdf</w:t>
        </w:r>
      </w:hyperlink>
      <w:r>
        <w:t xml:space="preserve"> </w:t>
      </w:r>
    </w:p>
  </w:footnote>
  <w:footnote w:id="10">
    <w:p w:rsidR="00DA1DE5" w:rsidRDefault="00DA1DE5">
      <w:pPr>
        <w:pStyle w:val="FootnoteText"/>
      </w:pPr>
      <w:r>
        <w:rPr>
          <w:rStyle w:val="FootnoteReference"/>
        </w:rPr>
        <w:footnoteRef/>
      </w:r>
      <w:r>
        <w:t xml:space="preserve"> It should be noted that this diagram is intended for illustrative purposes only.  It is not intended that the diagram is a definitive guide to the operations of I-SEM across all timeframes; nor is it intended that the diagram be an accurate depiction of every single entity which will operate in I-SEM.  Rather, the diagram provides a high-level pictorial representation of the I-SEM Regulatory Framework.</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DE5" w:rsidRDefault="00DA1DE5">
    <w:pPr>
      <w:pStyle w:val="Header"/>
    </w:pPr>
  </w:p>
  <w:p w:rsidR="00DA1DE5" w:rsidRDefault="00DA1DE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E25B9"/>
    <w:multiLevelType w:val="hybridMultilevel"/>
    <w:tmpl w:val="D2FC95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ED35DC5"/>
    <w:multiLevelType w:val="hybridMultilevel"/>
    <w:tmpl w:val="2C9A8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F10D62"/>
    <w:multiLevelType w:val="hybridMultilevel"/>
    <w:tmpl w:val="994EEDBA"/>
    <w:lvl w:ilvl="0" w:tplc="9596248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1C425306"/>
    <w:multiLevelType w:val="hybridMultilevel"/>
    <w:tmpl w:val="8E06FFE6"/>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2F063CD2"/>
    <w:multiLevelType w:val="hybridMultilevel"/>
    <w:tmpl w:val="C32298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ABD1D1E"/>
    <w:multiLevelType w:val="hybridMultilevel"/>
    <w:tmpl w:val="5844A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04D095F"/>
    <w:multiLevelType w:val="hybridMultilevel"/>
    <w:tmpl w:val="C4DE1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6F20610"/>
    <w:multiLevelType w:val="hybridMultilevel"/>
    <w:tmpl w:val="FACE6916"/>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4893749F"/>
    <w:multiLevelType w:val="hybridMultilevel"/>
    <w:tmpl w:val="7032A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DAF07CA"/>
    <w:multiLevelType w:val="hybridMultilevel"/>
    <w:tmpl w:val="EB5A5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F2E5647"/>
    <w:multiLevelType w:val="hybridMultilevel"/>
    <w:tmpl w:val="316E9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85B630F"/>
    <w:multiLevelType w:val="hybridMultilevel"/>
    <w:tmpl w:val="854E6702"/>
    <w:lvl w:ilvl="0" w:tplc="1809000F">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5B371B72"/>
    <w:multiLevelType w:val="multilevel"/>
    <w:tmpl w:val="F0D83CBE"/>
    <w:lvl w:ilvl="0">
      <w:start w:val="1"/>
      <w:numFmt w:val="decimal"/>
      <w:lvlText w:val="%1"/>
      <w:lvlJc w:val="left"/>
      <w:pPr>
        <w:ind w:left="4685" w:hanging="432"/>
      </w:pPr>
      <w:rPr>
        <w:rFonts w:cs="Times New Roman"/>
        <w:b/>
        <w:color w:val="FFFFFF" w:themeColor="background1"/>
        <w:sz w:val="24"/>
        <w:szCs w:val="24"/>
      </w:rPr>
    </w:lvl>
    <w:lvl w:ilvl="1">
      <w:start w:val="1"/>
      <w:numFmt w:val="decimal"/>
      <w:lvlText w:val="%1.%2"/>
      <w:lvlJc w:val="left"/>
      <w:pPr>
        <w:ind w:left="860" w:hanging="576"/>
      </w:pPr>
      <w:rPr>
        <w:rFonts w:asciiTheme="minorHAnsi" w:hAnsiTheme="minorHAnsi" w:cs="Times New Roman" w:hint="default"/>
        <w:b w:val="0"/>
        <w:color w:val="4BACC6" w:themeColor="accent5"/>
        <w:sz w:val="22"/>
        <w:szCs w:val="22"/>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3">
    <w:nsid w:val="5E2D28E0"/>
    <w:multiLevelType w:val="hybridMultilevel"/>
    <w:tmpl w:val="CAE43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36A379B"/>
    <w:multiLevelType w:val="hybridMultilevel"/>
    <w:tmpl w:val="D3EA72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7E7504D"/>
    <w:multiLevelType w:val="hybridMultilevel"/>
    <w:tmpl w:val="F8D6D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B527D79"/>
    <w:multiLevelType w:val="hybridMultilevel"/>
    <w:tmpl w:val="25129474"/>
    <w:lvl w:ilvl="0" w:tplc="63A890D8">
      <w:start w:val="8"/>
      <w:numFmt w:val="bullet"/>
      <w:lvlText w:val="-"/>
      <w:lvlJc w:val="left"/>
      <w:pPr>
        <w:ind w:left="720" w:hanging="360"/>
      </w:pPr>
      <w:rPr>
        <w:rFonts w:ascii="Calibri" w:eastAsiaTheme="minorEastAsia" w:hAnsi="Calibri"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nsid w:val="6CB644DC"/>
    <w:multiLevelType w:val="hybridMultilevel"/>
    <w:tmpl w:val="C32298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1017C51"/>
    <w:multiLevelType w:val="hybridMultilevel"/>
    <w:tmpl w:val="E2209956"/>
    <w:lvl w:ilvl="0" w:tplc="D36E9AF2">
      <w:start w:val="1"/>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15D444A"/>
    <w:multiLevelType w:val="hybridMultilevel"/>
    <w:tmpl w:val="593E25DA"/>
    <w:lvl w:ilvl="0" w:tplc="611603F0">
      <w:start w:val="10"/>
      <w:numFmt w:val="bullet"/>
      <w:lvlText w:val="-"/>
      <w:lvlJc w:val="left"/>
      <w:pPr>
        <w:ind w:left="1080" w:hanging="360"/>
      </w:pPr>
      <w:rPr>
        <w:rFonts w:ascii="Calibri" w:eastAsiaTheme="minorEastAsia" w:hAnsi="Calibri"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728E0D98"/>
    <w:multiLevelType w:val="hybridMultilevel"/>
    <w:tmpl w:val="7D084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85C2588"/>
    <w:multiLevelType w:val="multilevel"/>
    <w:tmpl w:val="F0D83CBE"/>
    <w:lvl w:ilvl="0">
      <w:start w:val="1"/>
      <w:numFmt w:val="decimal"/>
      <w:lvlText w:val="%1"/>
      <w:lvlJc w:val="left"/>
      <w:pPr>
        <w:ind w:left="4685" w:hanging="432"/>
      </w:pPr>
      <w:rPr>
        <w:rFonts w:cs="Times New Roman"/>
        <w:b/>
        <w:color w:val="FFFFFF" w:themeColor="background1"/>
        <w:sz w:val="24"/>
        <w:szCs w:val="24"/>
      </w:rPr>
    </w:lvl>
    <w:lvl w:ilvl="1">
      <w:start w:val="1"/>
      <w:numFmt w:val="decimal"/>
      <w:lvlText w:val="%1.%2"/>
      <w:lvlJc w:val="left"/>
      <w:pPr>
        <w:ind w:left="860" w:hanging="576"/>
      </w:pPr>
      <w:rPr>
        <w:rFonts w:asciiTheme="minorHAnsi" w:hAnsiTheme="minorHAnsi" w:cs="Times New Roman" w:hint="default"/>
        <w:b w:val="0"/>
        <w:color w:val="4BACC6" w:themeColor="accent5"/>
        <w:sz w:val="22"/>
        <w:szCs w:val="22"/>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0"/>
  </w:num>
  <w:num w:numId="4">
    <w:abstractNumId w:val="10"/>
  </w:num>
  <w:num w:numId="5">
    <w:abstractNumId w:val="16"/>
  </w:num>
  <w:num w:numId="6">
    <w:abstractNumId w:val="14"/>
  </w:num>
  <w:num w:numId="7">
    <w:abstractNumId w:val="11"/>
  </w:num>
  <w:num w:numId="8">
    <w:abstractNumId w:val="2"/>
  </w:num>
  <w:num w:numId="9">
    <w:abstractNumId w:val="7"/>
  </w:num>
  <w:num w:numId="10">
    <w:abstractNumId w:val="0"/>
  </w:num>
  <w:num w:numId="11">
    <w:abstractNumId w:val="9"/>
  </w:num>
  <w:num w:numId="12">
    <w:abstractNumId w:val="1"/>
  </w:num>
  <w:num w:numId="13">
    <w:abstractNumId w:val="8"/>
  </w:num>
  <w:num w:numId="14">
    <w:abstractNumId w:val="5"/>
  </w:num>
  <w:num w:numId="15">
    <w:abstractNumId w:val="15"/>
  </w:num>
  <w:num w:numId="16">
    <w:abstractNumId w:val="17"/>
  </w:num>
  <w:num w:numId="17">
    <w:abstractNumId w:val="18"/>
  </w:num>
  <w:num w:numId="18">
    <w:abstractNumId w:val="13"/>
  </w:num>
  <w:num w:numId="19">
    <w:abstractNumId w:val="19"/>
  </w:num>
  <w:num w:numId="20">
    <w:abstractNumId w:val="4"/>
  </w:num>
  <w:num w:numId="21">
    <w:abstractNumId w:val="12"/>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rsids>
    <w:rsidRoot w:val="001C6694"/>
    <w:rsid w:val="00005D14"/>
    <w:rsid w:val="00013252"/>
    <w:rsid w:val="0001365C"/>
    <w:rsid w:val="00014B13"/>
    <w:rsid w:val="000312C5"/>
    <w:rsid w:val="00031C77"/>
    <w:rsid w:val="00033912"/>
    <w:rsid w:val="000753A7"/>
    <w:rsid w:val="00092519"/>
    <w:rsid w:val="000A6CB2"/>
    <w:rsid w:val="000B0DF5"/>
    <w:rsid w:val="000B1F6F"/>
    <w:rsid w:val="000B65AB"/>
    <w:rsid w:val="000B79C5"/>
    <w:rsid w:val="000D0CD1"/>
    <w:rsid w:val="000F58A1"/>
    <w:rsid w:val="00101C2A"/>
    <w:rsid w:val="00103977"/>
    <w:rsid w:val="00120F08"/>
    <w:rsid w:val="0012407E"/>
    <w:rsid w:val="00136184"/>
    <w:rsid w:val="00144273"/>
    <w:rsid w:val="00173780"/>
    <w:rsid w:val="00175AAE"/>
    <w:rsid w:val="00184307"/>
    <w:rsid w:val="00184531"/>
    <w:rsid w:val="001857B6"/>
    <w:rsid w:val="001A6AD7"/>
    <w:rsid w:val="001B403D"/>
    <w:rsid w:val="001C6694"/>
    <w:rsid w:val="001D36D6"/>
    <w:rsid w:val="001D5D73"/>
    <w:rsid w:val="001E4C6F"/>
    <w:rsid w:val="001E7D44"/>
    <w:rsid w:val="001F7189"/>
    <w:rsid w:val="0020140B"/>
    <w:rsid w:val="00220FC7"/>
    <w:rsid w:val="00231AB5"/>
    <w:rsid w:val="00242E4D"/>
    <w:rsid w:val="00243963"/>
    <w:rsid w:val="00261BD4"/>
    <w:rsid w:val="00270BB7"/>
    <w:rsid w:val="002762EF"/>
    <w:rsid w:val="00277E77"/>
    <w:rsid w:val="00285B4C"/>
    <w:rsid w:val="002B5E96"/>
    <w:rsid w:val="002D2F38"/>
    <w:rsid w:val="002D5A37"/>
    <w:rsid w:val="002D758D"/>
    <w:rsid w:val="002F08F0"/>
    <w:rsid w:val="002F1C93"/>
    <w:rsid w:val="002F7FD6"/>
    <w:rsid w:val="00304153"/>
    <w:rsid w:val="00306644"/>
    <w:rsid w:val="003101F2"/>
    <w:rsid w:val="00337676"/>
    <w:rsid w:val="00340C5E"/>
    <w:rsid w:val="003713A5"/>
    <w:rsid w:val="003737BA"/>
    <w:rsid w:val="0037455F"/>
    <w:rsid w:val="003825A1"/>
    <w:rsid w:val="003B2D34"/>
    <w:rsid w:val="003C18BF"/>
    <w:rsid w:val="003C397F"/>
    <w:rsid w:val="003C7BD4"/>
    <w:rsid w:val="003E2032"/>
    <w:rsid w:val="003E2379"/>
    <w:rsid w:val="004066F3"/>
    <w:rsid w:val="00476952"/>
    <w:rsid w:val="00492AAA"/>
    <w:rsid w:val="0049462D"/>
    <w:rsid w:val="0049591A"/>
    <w:rsid w:val="004A6A85"/>
    <w:rsid w:val="004C36D7"/>
    <w:rsid w:val="004E469A"/>
    <w:rsid w:val="004F0B65"/>
    <w:rsid w:val="004F0C52"/>
    <w:rsid w:val="004F6EE3"/>
    <w:rsid w:val="00512A7D"/>
    <w:rsid w:val="0053420B"/>
    <w:rsid w:val="005440FD"/>
    <w:rsid w:val="005521B3"/>
    <w:rsid w:val="00570616"/>
    <w:rsid w:val="00583E91"/>
    <w:rsid w:val="005A0622"/>
    <w:rsid w:val="005A26D3"/>
    <w:rsid w:val="005A55C3"/>
    <w:rsid w:val="005B06F5"/>
    <w:rsid w:val="005C654F"/>
    <w:rsid w:val="005D47AB"/>
    <w:rsid w:val="005D6441"/>
    <w:rsid w:val="005E6E7E"/>
    <w:rsid w:val="005F4D96"/>
    <w:rsid w:val="006005AE"/>
    <w:rsid w:val="00620185"/>
    <w:rsid w:val="006240F3"/>
    <w:rsid w:val="0063777D"/>
    <w:rsid w:val="00657E33"/>
    <w:rsid w:val="0066257F"/>
    <w:rsid w:val="0066522A"/>
    <w:rsid w:val="006779C7"/>
    <w:rsid w:val="00684127"/>
    <w:rsid w:val="00684570"/>
    <w:rsid w:val="00685206"/>
    <w:rsid w:val="00687E6D"/>
    <w:rsid w:val="00695EB1"/>
    <w:rsid w:val="006B4859"/>
    <w:rsid w:val="006B6B38"/>
    <w:rsid w:val="006C0B0E"/>
    <w:rsid w:val="006D3E96"/>
    <w:rsid w:val="006E1667"/>
    <w:rsid w:val="006E1B3D"/>
    <w:rsid w:val="006E79DE"/>
    <w:rsid w:val="00713C16"/>
    <w:rsid w:val="00714C7B"/>
    <w:rsid w:val="0072415F"/>
    <w:rsid w:val="00724397"/>
    <w:rsid w:val="007353A8"/>
    <w:rsid w:val="0073628B"/>
    <w:rsid w:val="00754226"/>
    <w:rsid w:val="00756907"/>
    <w:rsid w:val="007746F6"/>
    <w:rsid w:val="007819FB"/>
    <w:rsid w:val="00781E50"/>
    <w:rsid w:val="00781E82"/>
    <w:rsid w:val="007A362C"/>
    <w:rsid w:val="007C00EE"/>
    <w:rsid w:val="007D47A4"/>
    <w:rsid w:val="007D4B96"/>
    <w:rsid w:val="007F14C6"/>
    <w:rsid w:val="007F330A"/>
    <w:rsid w:val="0082050B"/>
    <w:rsid w:val="00832C5F"/>
    <w:rsid w:val="00833239"/>
    <w:rsid w:val="00834625"/>
    <w:rsid w:val="00846B65"/>
    <w:rsid w:val="00864C78"/>
    <w:rsid w:val="00867CD7"/>
    <w:rsid w:val="0087668C"/>
    <w:rsid w:val="0087691D"/>
    <w:rsid w:val="008A23D9"/>
    <w:rsid w:val="008A2854"/>
    <w:rsid w:val="008A5239"/>
    <w:rsid w:val="008A70BA"/>
    <w:rsid w:val="008B10D8"/>
    <w:rsid w:val="008C2517"/>
    <w:rsid w:val="008C2B91"/>
    <w:rsid w:val="008E3C97"/>
    <w:rsid w:val="008F23E5"/>
    <w:rsid w:val="00900726"/>
    <w:rsid w:val="0091232F"/>
    <w:rsid w:val="00913F5F"/>
    <w:rsid w:val="009142EB"/>
    <w:rsid w:val="00915246"/>
    <w:rsid w:val="0092210B"/>
    <w:rsid w:val="00925AA4"/>
    <w:rsid w:val="0093755D"/>
    <w:rsid w:val="00946565"/>
    <w:rsid w:val="00950707"/>
    <w:rsid w:val="009541B7"/>
    <w:rsid w:val="00955DEC"/>
    <w:rsid w:val="009645E3"/>
    <w:rsid w:val="00982885"/>
    <w:rsid w:val="00984BC3"/>
    <w:rsid w:val="009C1C23"/>
    <w:rsid w:val="009C4BD7"/>
    <w:rsid w:val="009C6959"/>
    <w:rsid w:val="009C6B2A"/>
    <w:rsid w:val="009C7BD3"/>
    <w:rsid w:val="009D22AF"/>
    <w:rsid w:val="009D329B"/>
    <w:rsid w:val="009E0749"/>
    <w:rsid w:val="009E0AB5"/>
    <w:rsid w:val="009E76C0"/>
    <w:rsid w:val="009F4D8C"/>
    <w:rsid w:val="00A02425"/>
    <w:rsid w:val="00A02676"/>
    <w:rsid w:val="00A249FA"/>
    <w:rsid w:val="00A508BB"/>
    <w:rsid w:val="00A54E4A"/>
    <w:rsid w:val="00A56E74"/>
    <w:rsid w:val="00A63951"/>
    <w:rsid w:val="00A67724"/>
    <w:rsid w:val="00A7400F"/>
    <w:rsid w:val="00A75242"/>
    <w:rsid w:val="00A80ACD"/>
    <w:rsid w:val="00AB02C1"/>
    <w:rsid w:val="00AB1447"/>
    <w:rsid w:val="00AB24E3"/>
    <w:rsid w:val="00AC2848"/>
    <w:rsid w:val="00AC3C39"/>
    <w:rsid w:val="00AC5397"/>
    <w:rsid w:val="00AE50F1"/>
    <w:rsid w:val="00AE5E78"/>
    <w:rsid w:val="00AF4E9B"/>
    <w:rsid w:val="00B05D3B"/>
    <w:rsid w:val="00B07886"/>
    <w:rsid w:val="00B10A1B"/>
    <w:rsid w:val="00B14BD1"/>
    <w:rsid w:val="00B37D05"/>
    <w:rsid w:val="00B42604"/>
    <w:rsid w:val="00B534BA"/>
    <w:rsid w:val="00B63393"/>
    <w:rsid w:val="00B644A6"/>
    <w:rsid w:val="00B659AD"/>
    <w:rsid w:val="00B73C51"/>
    <w:rsid w:val="00B85D4C"/>
    <w:rsid w:val="00B959D7"/>
    <w:rsid w:val="00BB78C2"/>
    <w:rsid w:val="00BE6645"/>
    <w:rsid w:val="00BF2572"/>
    <w:rsid w:val="00C0398A"/>
    <w:rsid w:val="00C079E7"/>
    <w:rsid w:val="00C24B1D"/>
    <w:rsid w:val="00C53EDE"/>
    <w:rsid w:val="00C5630F"/>
    <w:rsid w:val="00C567C0"/>
    <w:rsid w:val="00C85208"/>
    <w:rsid w:val="00C93EBD"/>
    <w:rsid w:val="00CA3A63"/>
    <w:rsid w:val="00CC6D47"/>
    <w:rsid w:val="00CD0F31"/>
    <w:rsid w:val="00CD5B07"/>
    <w:rsid w:val="00CD6D20"/>
    <w:rsid w:val="00CE3AB5"/>
    <w:rsid w:val="00D02F31"/>
    <w:rsid w:val="00D24522"/>
    <w:rsid w:val="00D57D24"/>
    <w:rsid w:val="00D66226"/>
    <w:rsid w:val="00D91C28"/>
    <w:rsid w:val="00D94DCF"/>
    <w:rsid w:val="00D97BD5"/>
    <w:rsid w:val="00DA1DE5"/>
    <w:rsid w:val="00DB246F"/>
    <w:rsid w:val="00DB7093"/>
    <w:rsid w:val="00DE1D63"/>
    <w:rsid w:val="00DF60CF"/>
    <w:rsid w:val="00E00B40"/>
    <w:rsid w:val="00E04149"/>
    <w:rsid w:val="00E04CA7"/>
    <w:rsid w:val="00E469DB"/>
    <w:rsid w:val="00E66DA8"/>
    <w:rsid w:val="00E93E11"/>
    <w:rsid w:val="00E95E2B"/>
    <w:rsid w:val="00E97BCA"/>
    <w:rsid w:val="00EB328C"/>
    <w:rsid w:val="00EB5321"/>
    <w:rsid w:val="00ED163B"/>
    <w:rsid w:val="00ED6239"/>
    <w:rsid w:val="00F023FF"/>
    <w:rsid w:val="00F04926"/>
    <w:rsid w:val="00F0560F"/>
    <w:rsid w:val="00F1184B"/>
    <w:rsid w:val="00F23C75"/>
    <w:rsid w:val="00F256D0"/>
    <w:rsid w:val="00F4045A"/>
    <w:rsid w:val="00F51D8B"/>
    <w:rsid w:val="00F53C38"/>
    <w:rsid w:val="00F569EE"/>
    <w:rsid w:val="00F664F8"/>
    <w:rsid w:val="00F707F7"/>
    <w:rsid w:val="00F73AF4"/>
    <w:rsid w:val="00F9139F"/>
    <w:rsid w:val="00FA6451"/>
    <w:rsid w:val="00FB385F"/>
    <w:rsid w:val="00FC0CBC"/>
    <w:rsid w:val="00FC3165"/>
    <w:rsid w:val="00FC50C3"/>
    <w:rsid w:val="00FD0FBF"/>
    <w:rsid w:val="00FE2E4E"/>
    <w:rsid w:val="00FF7E2A"/>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694"/>
    <w:rPr>
      <w:rFonts w:eastAsiaTheme="minorEastAsia"/>
      <w:lang w:eastAsia="en-IE"/>
    </w:rPr>
  </w:style>
  <w:style w:type="paragraph" w:styleId="Heading1">
    <w:name w:val="heading 1"/>
    <w:basedOn w:val="Normal"/>
    <w:next w:val="Normal"/>
    <w:link w:val="Heading1Char"/>
    <w:qFormat/>
    <w:rsid w:val="001C6694"/>
    <w:pPr>
      <w:keepNext/>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after="0"/>
      <w:outlineLvl w:val="0"/>
    </w:pPr>
    <w:rPr>
      <w:b/>
      <w:bCs/>
      <w:caps/>
      <w:color w:val="FFFFFF" w:themeColor="background1"/>
      <w:spacing w:val="15"/>
      <w:lang w:eastAsia="en-US"/>
    </w:rPr>
  </w:style>
  <w:style w:type="paragraph" w:styleId="Heading2">
    <w:name w:val="heading 2"/>
    <w:basedOn w:val="Normal"/>
    <w:next w:val="Normal"/>
    <w:link w:val="Heading2Char"/>
    <w:uiPriority w:val="9"/>
    <w:unhideWhenUsed/>
    <w:qFormat/>
    <w:rsid w:val="00101C2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C669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6694"/>
    <w:rPr>
      <w:rFonts w:eastAsiaTheme="minorEastAsia"/>
      <w:b/>
      <w:bCs/>
      <w:caps/>
      <w:color w:val="FFFFFF" w:themeColor="background1"/>
      <w:spacing w:val="15"/>
      <w:shd w:val="clear" w:color="auto" w:fill="4F81BD" w:themeFill="accent1"/>
    </w:rPr>
  </w:style>
  <w:style w:type="character" w:customStyle="1" w:styleId="Heading3Char">
    <w:name w:val="Heading 3 Char"/>
    <w:basedOn w:val="DefaultParagraphFont"/>
    <w:link w:val="Heading3"/>
    <w:uiPriority w:val="9"/>
    <w:rsid w:val="001C6694"/>
    <w:rPr>
      <w:rFonts w:asciiTheme="majorHAnsi" w:eastAsiaTheme="majorEastAsia" w:hAnsiTheme="majorHAnsi" w:cstheme="majorBidi"/>
      <w:b/>
      <w:bCs/>
      <w:color w:val="4F81BD" w:themeColor="accent1"/>
      <w:lang w:eastAsia="en-IE"/>
    </w:rPr>
  </w:style>
  <w:style w:type="table" w:styleId="TableGrid">
    <w:name w:val="Table Grid"/>
    <w:basedOn w:val="TableNormal"/>
    <w:uiPriority w:val="59"/>
    <w:rsid w:val="001C6694"/>
    <w:pPr>
      <w:spacing w:after="0" w:line="240" w:lineRule="auto"/>
    </w:pPr>
    <w:rPr>
      <w:rFonts w:eastAsiaTheme="minorEastAsia"/>
      <w:lang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1C6694"/>
    <w:pPr>
      <w:ind w:left="720"/>
      <w:contextualSpacing/>
    </w:pPr>
  </w:style>
  <w:style w:type="character" w:styleId="Hyperlink">
    <w:name w:val="Hyperlink"/>
    <w:basedOn w:val="DefaultParagraphFont"/>
    <w:uiPriority w:val="99"/>
    <w:unhideWhenUsed/>
    <w:rsid w:val="001C6694"/>
    <w:rPr>
      <w:color w:val="0000FF" w:themeColor="hyperlink"/>
      <w:u w:val="single"/>
    </w:rPr>
  </w:style>
  <w:style w:type="paragraph" w:styleId="TOCHeading">
    <w:name w:val="TOC Heading"/>
    <w:basedOn w:val="Heading1"/>
    <w:next w:val="Normal"/>
    <w:uiPriority w:val="39"/>
    <w:unhideWhenUsed/>
    <w:qFormat/>
    <w:rsid w:val="001C6694"/>
    <w:pPr>
      <w:outlineLvl w:val="9"/>
    </w:pPr>
    <w:rPr>
      <w:lang w:bidi="en-US"/>
    </w:rPr>
  </w:style>
  <w:style w:type="paragraph" w:styleId="FootnoteText">
    <w:name w:val="footnote text"/>
    <w:aliases w:val="Geneva 9,Font: Geneva 9,Boston 10,f,single space"/>
    <w:basedOn w:val="Normal"/>
    <w:link w:val="FootnoteTextChar"/>
    <w:semiHidden/>
    <w:unhideWhenUsed/>
    <w:rsid w:val="001C6694"/>
    <w:pPr>
      <w:spacing w:after="0" w:line="240" w:lineRule="auto"/>
    </w:pPr>
    <w:rPr>
      <w:sz w:val="20"/>
      <w:szCs w:val="20"/>
      <w:lang w:eastAsia="en-US"/>
    </w:rPr>
  </w:style>
  <w:style w:type="character" w:customStyle="1" w:styleId="FootnoteTextChar">
    <w:name w:val="Footnote Text Char"/>
    <w:aliases w:val="Geneva 9 Char,Font: Geneva 9 Char,Boston 10 Char,f Char,single space Char"/>
    <w:basedOn w:val="DefaultParagraphFont"/>
    <w:link w:val="FootnoteText"/>
    <w:semiHidden/>
    <w:rsid w:val="001C6694"/>
    <w:rPr>
      <w:rFonts w:eastAsiaTheme="minorEastAsia"/>
      <w:sz w:val="20"/>
      <w:szCs w:val="20"/>
    </w:rPr>
  </w:style>
  <w:style w:type="character" w:styleId="FootnoteReference">
    <w:name w:val="footnote reference"/>
    <w:aliases w:val="-E Fußnotenzeichen,fr,SUPERS,EN Footnote Reference,number,ftref,16 Point,Superscript 6 Point,Footnote symbol,Footnote reference number,Times 10 Point,Exposant 3 Point,Ref,de nota al pie,note TESI,stylish,FR,BVI fnr"/>
    <w:basedOn w:val="DefaultParagraphFont"/>
    <w:unhideWhenUsed/>
    <w:rsid w:val="001C6694"/>
    <w:rPr>
      <w:vertAlign w:val="superscript"/>
    </w:rPr>
  </w:style>
  <w:style w:type="paragraph" w:styleId="TOC1">
    <w:name w:val="toc 1"/>
    <w:basedOn w:val="Normal"/>
    <w:next w:val="Normal"/>
    <w:autoRedefine/>
    <w:uiPriority w:val="39"/>
    <w:unhideWhenUsed/>
    <w:rsid w:val="001C6694"/>
    <w:pPr>
      <w:spacing w:before="200" w:after="100"/>
    </w:pPr>
    <w:rPr>
      <w:sz w:val="20"/>
      <w:szCs w:val="20"/>
      <w:lang w:eastAsia="en-US"/>
    </w:rPr>
  </w:style>
  <w:style w:type="paragraph" w:styleId="TOC3">
    <w:name w:val="toc 3"/>
    <w:basedOn w:val="Normal"/>
    <w:next w:val="Normal"/>
    <w:autoRedefine/>
    <w:uiPriority w:val="39"/>
    <w:unhideWhenUsed/>
    <w:rsid w:val="001C6694"/>
    <w:pPr>
      <w:spacing w:after="100"/>
      <w:ind w:left="440"/>
    </w:pPr>
  </w:style>
  <w:style w:type="paragraph" w:styleId="Footer">
    <w:name w:val="footer"/>
    <w:basedOn w:val="Normal"/>
    <w:link w:val="FooterChar"/>
    <w:uiPriority w:val="99"/>
    <w:unhideWhenUsed/>
    <w:rsid w:val="001C66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6694"/>
    <w:rPr>
      <w:rFonts w:eastAsiaTheme="minorEastAsia"/>
      <w:lang w:eastAsia="en-IE"/>
    </w:rPr>
  </w:style>
  <w:style w:type="paragraph" w:styleId="Header">
    <w:name w:val="header"/>
    <w:basedOn w:val="Normal"/>
    <w:link w:val="HeaderChar"/>
    <w:uiPriority w:val="99"/>
    <w:unhideWhenUsed/>
    <w:rsid w:val="001C66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6694"/>
    <w:rPr>
      <w:rFonts w:eastAsiaTheme="minorEastAsia"/>
      <w:lang w:eastAsia="en-IE"/>
    </w:rPr>
  </w:style>
  <w:style w:type="character" w:styleId="PageNumber">
    <w:name w:val="page number"/>
    <w:basedOn w:val="DefaultParagraphFont"/>
    <w:rsid w:val="001C6694"/>
  </w:style>
  <w:style w:type="character" w:customStyle="1" w:styleId="ListParagraphChar">
    <w:name w:val="List Paragraph Char"/>
    <w:basedOn w:val="DefaultParagraphFont"/>
    <w:link w:val="ListParagraph"/>
    <w:uiPriority w:val="34"/>
    <w:locked/>
    <w:rsid w:val="001C6694"/>
    <w:rPr>
      <w:rFonts w:eastAsiaTheme="minorEastAsia"/>
      <w:lang w:eastAsia="en-IE"/>
    </w:rPr>
  </w:style>
  <w:style w:type="paragraph" w:customStyle="1" w:styleId="Default">
    <w:name w:val="Default"/>
    <w:rsid w:val="001C6694"/>
    <w:pPr>
      <w:autoSpaceDE w:val="0"/>
      <w:autoSpaceDN w:val="0"/>
      <w:adjustRightInd w:val="0"/>
      <w:spacing w:after="0" w:line="240" w:lineRule="auto"/>
      <w:jc w:val="both"/>
    </w:pPr>
    <w:rPr>
      <w:rFonts w:ascii="Arial" w:eastAsia="Times New Roman" w:hAnsi="Arial" w:cs="Arial"/>
      <w:color w:val="000000"/>
      <w:sz w:val="24"/>
      <w:szCs w:val="24"/>
      <w:lang w:val="en-GB" w:eastAsia="en-GB"/>
    </w:rPr>
  </w:style>
  <w:style w:type="character" w:styleId="CommentReference">
    <w:name w:val="annotation reference"/>
    <w:basedOn w:val="DefaultParagraphFont"/>
    <w:uiPriority w:val="99"/>
    <w:semiHidden/>
    <w:unhideWhenUsed/>
    <w:rsid w:val="001C6694"/>
    <w:rPr>
      <w:sz w:val="16"/>
      <w:szCs w:val="16"/>
    </w:rPr>
  </w:style>
  <w:style w:type="paragraph" w:styleId="CommentText">
    <w:name w:val="annotation text"/>
    <w:basedOn w:val="Normal"/>
    <w:link w:val="CommentTextChar"/>
    <w:uiPriority w:val="99"/>
    <w:semiHidden/>
    <w:unhideWhenUsed/>
    <w:rsid w:val="001C6694"/>
    <w:pPr>
      <w:spacing w:line="240" w:lineRule="auto"/>
    </w:pPr>
    <w:rPr>
      <w:sz w:val="20"/>
      <w:szCs w:val="20"/>
    </w:rPr>
  </w:style>
  <w:style w:type="character" w:customStyle="1" w:styleId="CommentTextChar">
    <w:name w:val="Comment Text Char"/>
    <w:basedOn w:val="DefaultParagraphFont"/>
    <w:link w:val="CommentText"/>
    <w:uiPriority w:val="99"/>
    <w:semiHidden/>
    <w:rsid w:val="001C6694"/>
    <w:rPr>
      <w:rFonts w:eastAsiaTheme="minorEastAsia"/>
      <w:sz w:val="20"/>
      <w:szCs w:val="20"/>
      <w:lang w:eastAsia="en-IE"/>
    </w:rPr>
  </w:style>
  <w:style w:type="paragraph" w:styleId="BalloonText">
    <w:name w:val="Balloon Text"/>
    <w:basedOn w:val="Normal"/>
    <w:link w:val="BalloonTextChar"/>
    <w:uiPriority w:val="99"/>
    <w:semiHidden/>
    <w:unhideWhenUsed/>
    <w:rsid w:val="001C66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694"/>
    <w:rPr>
      <w:rFonts w:ascii="Tahoma" w:eastAsiaTheme="minorEastAsia" w:hAnsi="Tahoma" w:cs="Tahoma"/>
      <w:sz w:val="16"/>
      <w:szCs w:val="16"/>
      <w:lang w:eastAsia="en-IE"/>
    </w:rPr>
  </w:style>
  <w:style w:type="paragraph" w:styleId="CommentSubject">
    <w:name w:val="annotation subject"/>
    <w:basedOn w:val="CommentText"/>
    <w:next w:val="CommentText"/>
    <w:link w:val="CommentSubjectChar"/>
    <w:uiPriority w:val="99"/>
    <w:semiHidden/>
    <w:unhideWhenUsed/>
    <w:rsid w:val="00657E33"/>
    <w:rPr>
      <w:b/>
      <w:bCs/>
    </w:rPr>
  </w:style>
  <w:style w:type="character" w:customStyle="1" w:styleId="CommentSubjectChar">
    <w:name w:val="Comment Subject Char"/>
    <w:basedOn w:val="CommentTextChar"/>
    <w:link w:val="CommentSubject"/>
    <w:uiPriority w:val="99"/>
    <w:semiHidden/>
    <w:rsid w:val="00657E33"/>
    <w:rPr>
      <w:rFonts w:eastAsiaTheme="minorEastAsia"/>
      <w:b/>
      <w:bCs/>
      <w:sz w:val="20"/>
      <w:szCs w:val="20"/>
      <w:lang w:eastAsia="en-IE"/>
    </w:rPr>
  </w:style>
  <w:style w:type="paragraph" w:styleId="NoSpacing">
    <w:name w:val="No Spacing"/>
    <w:uiPriority w:val="1"/>
    <w:qFormat/>
    <w:rsid w:val="008C2B91"/>
    <w:pPr>
      <w:widowControl w:val="0"/>
      <w:spacing w:after="0" w:line="240" w:lineRule="auto"/>
      <w:jc w:val="both"/>
    </w:pPr>
    <w:rPr>
      <w:rFonts w:ascii="Arial" w:hAnsi="Arial"/>
      <w:sz w:val="24"/>
      <w:lang w:val="en-GB"/>
    </w:rPr>
  </w:style>
  <w:style w:type="paragraph" w:customStyle="1" w:styleId="Title1">
    <w:name w:val="Title1"/>
    <w:basedOn w:val="Normal"/>
    <w:rsid w:val="009C6B2A"/>
    <w:pPr>
      <w:spacing w:after="0" w:line="240" w:lineRule="auto"/>
    </w:pPr>
    <w:rPr>
      <w:rFonts w:ascii="Verdana" w:eastAsia="Times New Roman" w:hAnsi="Verdana" w:cs="Arial"/>
      <w:b/>
      <w:sz w:val="20"/>
      <w:szCs w:val="20"/>
      <w:lang w:val="en-GB" w:eastAsia="en-GB"/>
    </w:rPr>
  </w:style>
  <w:style w:type="character" w:customStyle="1" w:styleId="Heading2Char">
    <w:name w:val="Heading 2 Char"/>
    <w:basedOn w:val="DefaultParagraphFont"/>
    <w:link w:val="Heading2"/>
    <w:uiPriority w:val="9"/>
    <w:rsid w:val="00101C2A"/>
    <w:rPr>
      <w:rFonts w:asciiTheme="majorHAnsi" w:eastAsiaTheme="majorEastAsia" w:hAnsiTheme="majorHAnsi" w:cstheme="majorBidi"/>
      <w:color w:val="365F91" w:themeColor="accent1" w:themeShade="BF"/>
      <w:sz w:val="26"/>
      <w:szCs w:val="26"/>
      <w:lang w:eastAsia="en-IE"/>
    </w:rPr>
  </w:style>
  <w:style w:type="character" w:styleId="FollowedHyperlink">
    <w:name w:val="FollowedHyperlink"/>
    <w:basedOn w:val="DefaultParagraphFont"/>
    <w:uiPriority w:val="99"/>
    <w:semiHidden/>
    <w:unhideWhenUsed/>
    <w:rsid w:val="009C1C23"/>
    <w:rPr>
      <w:color w:val="800080" w:themeColor="followedHyperlink"/>
      <w:u w:val="single"/>
    </w:rPr>
  </w:style>
  <w:style w:type="paragraph" w:styleId="Revision">
    <w:name w:val="Revision"/>
    <w:hidden/>
    <w:uiPriority w:val="99"/>
    <w:semiHidden/>
    <w:rsid w:val="004E469A"/>
    <w:pPr>
      <w:spacing w:after="0" w:line="240" w:lineRule="auto"/>
    </w:pPr>
    <w:rPr>
      <w:rFonts w:eastAsiaTheme="minorEastAsia"/>
      <w:lang w:eastAsia="en-IE"/>
    </w:rPr>
  </w:style>
</w:styles>
</file>

<file path=word/webSettings.xml><?xml version="1.0" encoding="utf-8"?>
<w:webSettings xmlns:r="http://schemas.openxmlformats.org/officeDocument/2006/relationships" xmlns:w="http://schemas.openxmlformats.org/wordprocessingml/2006/main">
  <w:divs>
    <w:div w:id="1383863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2.nationalgrid.com/UK/Industry-information/Electricity-codes/European-network-code/Decision-letters/" TargetMode="External"/><Relationship Id="rId2" Type="http://schemas.openxmlformats.org/officeDocument/2006/relationships/hyperlink" Target="http://www.allislandproject.org/enTS_Current_Consulations.aspx?article=5d17226-e065-4bba-9ff-980512012c885&amp;mode=author" TargetMode="External"/><Relationship Id="rId1" Type="http://schemas.openxmlformats.org/officeDocument/2006/relationships/hyperlink" Target="http://www.uregni.gov.uk/.../Invite_for_NEMO_applications_for_I-SEM.pdf" TargetMode="External"/><Relationship Id="rId4" Type="http://schemas.openxmlformats.org/officeDocument/2006/relationships/hyperlink" Target="http://www.sem-o.com/Publications/General/EUPHEMIA%20Trial%20-%20Commercial%20Phase%20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9ABCD-04FE-4208-A08E-39E31145A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4601</Words>
  <Characters>26230</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30770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Gallagher</dc:creator>
  <cp:lastModifiedBy>Greg Irwin</cp:lastModifiedBy>
  <cp:revision>2</cp:revision>
  <cp:lastPrinted>2016-07-27T09:20:00Z</cp:lastPrinted>
  <dcterms:created xsi:type="dcterms:W3CDTF">2016-08-30T15:35:00Z</dcterms:created>
  <dcterms:modified xsi:type="dcterms:W3CDTF">2016-08-30T15:35:00Z</dcterms:modified>
</cp:coreProperties>
</file>