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1700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651637E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59B340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1E274F34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5D96E413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06AC992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BC3B2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74FD87DC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0B89F8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45CD6DE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629606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D520BE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0F9F05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3310EDA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078F2F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2B0D29FF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49D6C1E5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7B2872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2ECB5709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4ED94EEC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01B5A0AF" w14:textId="77777777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2F9F9BAC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E21119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EB6B66B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1280D22F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730C081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14:paraId="19B25670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923E13D" w14:textId="481C4066" w:rsidR="009E30CF" w:rsidRDefault="00527365" w:rsidP="009E30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</w:t>
            </w:r>
            <w:r w:rsidR="00B5770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_23</w:t>
            </w:r>
            <w:r w:rsidR="009E30CF" w:rsidRPr="009E30CF">
              <w:rPr>
                <w:b/>
                <w:sz w:val="24"/>
                <w:szCs w:val="24"/>
              </w:rPr>
              <w:t>:</w:t>
            </w:r>
            <w:r w:rsidR="009E30CF" w:rsidRPr="009E30CF">
              <w:rPr>
                <w:b/>
                <w:sz w:val="24"/>
                <w:szCs w:val="24"/>
              </w:rPr>
              <w:tab/>
            </w:r>
          </w:p>
          <w:p w14:paraId="1084AD24" w14:textId="6E4DD9E9" w:rsidR="00E93C2C" w:rsidRPr="00B5770E" w:rsidRDefault="00B5770E" w:rsidP="009E30CF">
            <w:pPr>
              <w:jc w:val="both"/>
              <w:rPr>
                <w:sz w:val="24"/>
                <w:szCs w:val="24"/>
              </w:rPr>
            </w:pPr>
            <w:r w:rsidRPr="00B5770E">
              <w:rPr>
                <w:rFonts w:cstheme="minorHAnsi"/>
              </w:rPr>
              <w:t>Introduction of Remedial Action for Unforeseeable Delays Due to Extraordinary Supply Chain Impacts</w:t>
            </w:r>
          </w:p>
        </w:tc>
        <w:tc>
          <w:tcPr>
            <w:tcW w:w="3963" w:type="dxa"/>
            <w:vAlign w:val="center"/>
          </w:tcPr>
          <w:p w14:paraId="4CF2F899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2037DA1A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19B6ED17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9E30CF" w14:paraId="547F6B71" w14:textId="77777777" w:rsidTr="009E30CF">
        <w:trPr>
          <w:cantSplit/>
          <w:trHeight w:val="1252"/>
          <w:jc w:val="center"/>
        </w:trPr>
        <w:tc>
          <w:tcPr>
            <w:tcW w:w="4395" w:type="dxa"/>
          </w:tcPr>
          <w:p w14:paraId="69AABA50" w14:textId="6F7B61ED" w:rsidR="009E30CF" w:rsidRDefault="00527365" w:rsidP="009E30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</w:t>
            </w:r>
            <w:r w:rsidR="00B5770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_23</w:t>
            </w:r>
            <w:r w:rsidR="009E30CF" w:rsidRPr="009E30CF">
              <w:rPr>
                <w:b/>
                <w:sz w:val="24"/>
                <w:szCs w:val="24"/>
              </w:rPr>
              <w:t>:</w:t>
            </w:r>
            <w:r w:rsidR="009E30CF" w:rsidRPr="009E30CF">
              <w:rPr>
                <w:b/>
                <w:sz w:val="24"/>
                <w:szCs w:val="24"/>
              </w:rPr>
              <w:tab/>
            </w:r>
          </w:p>
          <w:p w14:paraId="55BA6EAC" w14:textId="0A64D179" w:rsidR="009E30CF" w:rsidRPr="009E30CF" w:rsidRDefault="00B5770E" w:rsidP="009E30CF">
            <w:pPr>
              <w:jc w:val="both"/>
              <w:rPr>
                <w:sz w:val="24"/>
                <w:szCs w:val="24"/>
              </w:rPr>
            </w:pPr>
            <w:r w:rsidRPr="00B5770E">
              <w:rPr>
                <w:sz w:val="24"/>
                <w:szCs w:val="24"/>
              </w:rPr>
              <w:t>Resolving Inconsistency in Definition of Existing Capacity Arising from CMC_11_22</w:t>
            </w:r>
          </w:p>
        </w:tc>
        <w:tc>
          <w:tcPr>
            <w:tcW w:w="3963" w:type="dxa"/>
            <w:vAlign w:val="center"/>
          </w:tcPr>
          <w:p w14:paraId="6C348DA1" w14:textId="77777777"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372A4ED4" w14:textId="77777777"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6D1EDFDF" w14:textId="77777777" w:rsidR="009E30CF" w:rsidRDefault="009E30CF" w:rsidP="00345010">
            <w:pPr>
              <w:rPr>
                <w:sz w:val="24"/>
                <w:szCs w:val="24"/>
              </w:rPr>
            </w:pPr>
          </w:p>
        </w:tc>
      </w:tr>
      <w:tr w:rsidR="00B5770E" w14:paraId="5CF02CFD" w14:textId="77777777" w:rsidTr="009E30CF">
        <w:trPr>
          <w:cantSplit/>
          <w:trHeight w:val="1252"/>
          <w:jc w:val="center"/>
        </w:trPr>
        <w:tc>
          <w:tcPr>
            <w:tcW w:w="4395" w:type="dxa"/>
          </w:tcPr>
          <w:p w14:paraId="21C0CD15" w14:textId="2BEE012A" w:rsidR="00B5770E" w:rsidRDefault="00B5770E" w:rsidP="00B57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CMC_0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_23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14:paraId="4CB44A62" w14:textId="0C96B9D5" w:rsidR="00B5770E" w:rsidRPr="00B5770E" w:rsidRDefault="00B5770E" w:rsidP="00B5770E">
            <w:pPr>
              <w:jc w:val="both"/>
              <w:rPr>
                <w:sz w:val="24"/>
                <w:szCs w:val="24"/>
              </w:rPr>
            </w:pPr>
            <w:r w:rsidRPr="00B5770E">
              <w:rPr>
                <w:rFonts w:cstheme="minorHAnsi"/>
              </w:rPr>
              <w:t>Outstanding Aspects of the Implementation of ARHL De-Rating Factors</w:t>
            </w:r>
          </w:p>
        </w:tc>
        <w:tc>
          <w:tcPr>
            <w:tcW w:w="3963" w:type="dxa"/>
            <w:vAlign w:val="center"/>
          </w:tcPr>
          <w:p w14:paraId="3B966599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13C469D0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711C121F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</w:tr>
      <w:tr w:rsidR="00B5770E" w14:paraId="0C496CFF" w14:textId="77777777" w:rsidTr="009E30CF">
        <w:trPr>
          <w:cantSplit/>
          <w:trHeight w:val="1252"/>
          <w:jc w:val="center"/>
        </w:trPr>
        <w:tc>
          <w:tcPr>
            <w:tcW w:w="4395" w:type="dxa"/>
          </w:tcPr>
          <w:p w14:paraId="79B24189" w14:textId="3D09F70C" w:rsidR="00B5770E" w:rsidRDefault="00B5770E" w:rsidP="00B57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_23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14:paraId="0A6DAF2A" w14:textId="5C55D114" w:rsidR="00B5770E" w:rsidRPr="00B5770E" w:rsidRDefault="00B5770E" w:rsidP="00B5770E">
            <w:pPr>
              <w:jc w:val="both"/>
              <w:rPr>
                <w:sz w:val="24"/>
                <w:szCs w:val="24"/>
              </w:rPr>
            </w:pPr>
            <w:r w:rsidRPr="00B5770E">
              <w:rPr>
                <w:rFonts w:cstheme="minorHAnsi"/>
              </w:rPr>
              <w:t>Special Application of ISTA</w:t>
            </w:r>
          </w:p>
        </w:tc>
        <w:tc>
          <w:tcPr>
            <w:tcW w:w="3963" w:type="dxa"/>
            <w:vAlign w:val="center"/>
          </w:tcPr>
          <w:p w14:paraId="2CE594F5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7E904567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7FC38EC7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</w:tr>
      <w:tr w:rsidR="00B5770E" w14:paraId="563B8561" w14:textId="77777777" w:rsidTr="009E30CF">
        <w:trPr>
          <w:cantSplit/>
          <w:trHeight w:val="1252"/>
          <w:jc w:val="center"/>
        </w:trPr>
        <w:tc>
          <w:tcPr>
            <w:tcW w:w="4395" w:type="dxa"/>
          </w:tcPr>
          <w:p w14:paraId="6CCA9168" w14:textId="382B690B" w:rsidR="00B5770E" w:rsidRDefault="00B5770E" w:rsidP="00B57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_23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14:paraId="2BF9C3C1" w14:textId="12D69526" w:rsidR="00B5770E" w:rsidRPr="00B5770E" w:rsidRDefault="00B5770E" w:rsidP="00B5770E">
            <w:pPr>
              <w:jc w:val="both"/>
              <w:rPr>
                <w:sz w:val="24"/>
                <w:szCs w:val="24"/>
              </w:rPr>
            </w:pPr>
            <w:r w:rsidRPr="00B5770E">
              <w:rPr>
                <w:rFonts w:cstheme="minorHAnsi"/>
              </w:rPr>
              <w:t>Typographical Correction Capacity Aggregation Threshold</w:t>
            </w:r>
          </w:p>
        </w:tc>
        <w:tc>
          <w:tcPr>
            <w:tcW w:w="3963" w:type="dxa"/>
            <w:vAlign w:val="center"/>
          </w:tcPr>
          <w:p w14:paraId="27D77CCF" w14:textId="3214F5FD" w:rsidR="00B5770E" w:rsidRDefault="00B5770E" w:rsidP="00B5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BEING CONSULTED ON</w:t>
            </w:r>
          </w:p>
        </w:tc>
        <w:tc>
          <w:tcPr>
            <w:tcW w:w="3362" w:type="dxa"/>
            <w:vAlign w:val="center"/>
          </w:tcPr>
          <w:p w14:paraId="10DBE5CC" w14:textId="6DB6E52C" w:rsidR="00B5770E" w:rsidRDefault="00B5770E" w:rsidP="00B5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BEING CONSULTED ON</w:t>
            </w:r>
          </w:p>
        </w:tc>
        <w:tc>
          <w:tcPr>
            <w:tcW w:w="3644" w:type="dxa"/>
            <w:vAlign w:val="center"/>
          </w:tcPr>
          <w:p w14:paraId="5F0B795B" w14:textId="5F5074E9" w:rsidR="00B5770E" w:rsidRDefault="00B5770E" w:rsidP="00B5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BEING CONSULTED ON</w:t>
            </w:r>
          </w:p>
        </w:tc>
      </w:tr>
      <w:tr w:rsidR="00B5770E" w14:paraId="43A288E2" w14:textId="77777777" w:rsidTr="009E30CF">
        <w:trPr>
          <w:cantSplit/>
          <w:trHeight w:val="1252"/>
          <w:jc w:val="center"/>
        </w:trPr>
        <w:tc>
          <w:tcPr>
            <w:tcW w:w="4395" w:type="dxa"/>
          </w:tcPr>
          <w:p w14:paraId="72F4EC4D" w14:textId="327F978B" w:rsidR="00B5770E" w:rsidRDefault="00B5770E" w:rsidP="00B57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_23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14:paraId="567F7059" w14:textId="62F22403" w:rsidR="00B5770E" w:rsidRPr="00B5770E" w:rsidRDefault="00B5770E" w:rsidP="00B5770E">
            <w:pPr>
              <w:jc w:val="both"/>
              <w:rPr>
                <w:sz w:val="24"/>
                <w:szCs w:val="24"/>
              </w:rPr>
            </w:pPr>
            <w:r w:rsidRPr="00B5770E">
              <w:rPr>
                <w:rFonts w:cstheme="minorHAnsi"/>
              </w:rPr>
              <w:t>Removal of Section J.6.1.6 of the Capacity Market Code</w:t>
            </w:r>
          </w:p>
        </w:tc>
        <w:tc>
          <w:tcPr>
            <w:tcW w:w="3963" w:type="dxa"/>
            <w:vAlign w:val="center"/>
          </w:tcPr>
          <w:p w14:paraId="7205DEE5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6644EBDA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7D19035A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</w:tr>
    </w:tbl>
    <w:p w14:paraId="3749AA97" w14:textId="77777777" w:rsidR="0097272F" w:rsidRDefault="0097272F">
      <w:pPr>
        <w:rPr>
          <w:sz w:val="24"/>
          <w:szCs w:val="24"/>
        </w:rPr>
      </w:pPr>
    </w:p>
    <w:p w14:paraId="202222D9" w14:textId="77777777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92F2" w14:textId="77777777"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14:paraId="43A65BBD" w14:textId="77777777"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96F4" w14:textId="77777777"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14:paraId="23216520" w14:textId="77777777"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5A7A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78DCF2E0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266226985">
    <w:abstractNumId w:val="2"/>
  </w:num>
  <w:num w:numId="2" w16cid:durableId="2146506820">
    <w:abstractNumId w:val="1"/>
  </w:num>
  <w:num w:numId="3" w16cid:durableId="9088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B54CC"/>
    <w:rsid w:val="003523DB"/>
    <w:rsid w:val="003A45A1"/>
    <w:rsid w:val="003B1DDD"/>
    <w:rsid w:val="004417C0"/>
    <w:rsid w:val="004B4EF0"/>
    <w:rsid w:val="00527365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885675"/>
    <w:rsid w:val="0097272F"/>
    <w:rsid w:val="009E30CF"/>
    <w:rsid w:val="00A406C6"/>
    <w:rsid w:val="00A5739F"/>
    <w:rsid w:val="00AA3C4C"/>
    <w:rsid w:val="00B10AE1"/>
    <w:rsid w:val="00B12B92"/>
    <w:rsid w:val="00B3577A"/>
    <w:rsid w:val="00B5770E"/>
    <w:rsid w:val="00B76F96"/>
    <w:rsid w:val="00C55E84"/>
    <w:rsid w:val="00C62F87"/>
    <w:rsid w:val="00C85F0D"/>
    <w:rsid w:val="00D302D9"/>
    <w:rsid w:val="00DE6589"/>
    <w:rsid w:val="00E04A8F"/>
    <w:rsid w:val="00E93C2C"/>
    <w:rsid w:val="00EE316C"/>
    <w:rsid w:val="00EF2EF8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A8E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McClelland, Ian</cp:lastModifiedBy>
  <cp:revision>32</cp:revision>
  <dcterms:created xsi:type="dcterms:W3CDTF">2018-08-15T15:20:00Z</dcterms:created>
  <dcterms:modified xsi:type="dcterms:W3CDTF">2023-04-12T10:43:00Z</dcterms:modified>
</cp:coreProperties>
</file>